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1567D4">
                              <w:rPr>
                                <w:rStyle w:val="Strong"/>
                                <w:color w:val="1F497D" w:themeColor="text2"/>
                              </w:rPr>
                              <w:t>June 24</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1567D4">
                        <w:rPr>
                          <w:rStyle w:val="Strong"/>
                          <w:color w:val="1F497D" w:themeColor="text2"/>
                        </w:rPr>
                        <w:t>June 24</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Amy Wagner</w:t>
      </w:r>
      <w:r w:rsidR="0040415D">
        <w:t xml:space="preserve"> (</w:t>
      </w:r>
      <w:r>
        <w:t>DHHS/OCQI</w:t>
      </w:r>
      <w:r w:rsidR="0040415D">
        <w:t>)</w:t>
      </w:r>
      <w:r>
        <w:t xml:space="preserve">; Kathy Woods </w:t>
      </w:r>
      <w:r w:rsidR="0040415D">
        <w:t>(</w:t>
      </w:r>
      <w:r>
        <w:t>Lewin</w:t>
      </w:r>
      <w:r w:rsidR="0040415D">
        <w:t>)</w:t>
      </w:r>
      <w:r>
        <w:t xml:space="preserve"> </w:t>
      </w:r>
    </w:p>
    <w:p w:rsidR="00416F02" w:rsidRPr="0040415D" w:rsidRDefault="00B360D6" w:rsidP="00416F02">
      <w:pPr>
        <w:pStyle w:val="NoSpacing"/>
        <w:rPr>
          <w:b/>
        </w:rPr>
      </w:pPr>
      <w:r w:rsidRPr="00382C14">
        <w:rPr>
          <w:b/>
        </w:rPr>
        <w:t>Core Member Attendance:</w:t>
      </w:r>
      <w:r w:rsidR="009F7035" w:rsidRPr="00382C14">
        <w:t xml:space="preserve"> </w:t>
      </w:r>
      <w:r w:rsidRPr="00382C14">
        <w:t xml:space="preserve"> </w:t>
      </w:r>
      <w:r w:rsidR="00826C04">
        <w:t>Jay Yoe (DHHS/OCQI)</w:t>
      </w:r>
      <w:r w:rsidR="00A028AE">
        <w:t>, Andrew MacLean</w:t>
      </w:r>
      <w:r w:rsidR="001F41F0">
        <w:t xml:space="preserve"> (Maine Medical Association)</w:t>
      </w:r>
      <w:r w:rsidR="00A028AE">
        <w:t>, Peter Flotten (MeHMC),</w:t>
      </w:r>
      <w:r w:rsidR="00A028AE" w:rsidRPr="00A028AE">
        <w:t xml:space="preserve"> </w:t>
      </w:r>
      <w:r w:rsidR="00A028AE">
        <w:t>Cindy Seekins (Parent of Consumer)</w:t>
      </w:r>
      <w:r w:rsidR="009310E2">
        <w:t xml:space="preserve">, </w:t>
      </w:r>
      <w:r w:rsidR="00922930">
        <w:t xml:space="preserve">Jim Leonard (DHHS/MaineCare), </w:t>
      </w:r>
      <w:r w:rsidR="00C35836">
        <w:t>Debra Wigand (Maine CDC)</w:t>
      </w:r>
      <w:r w:rsidR="00E063EF">
        <w:t>, Angela Cole Westhoff (Maine Osteopathic Association), Sadel Davis (UPC of ME), Katherine Pelletreau (ME Assoc. of Health Plans), Lisa Letourneau (QC)</w:t>
      </w:r>
      <w:r w:rsidR="00416F02">
        <w:t>,  Amy Dix (Office of MaineCare Services)</w:t>
      </w:r>
      <w:r w:rsidR="00DF5DC3">
        <w:t xml:space="preserve">, </w:t>
      </w:r>
      <w:r w:rsidR="00A40865">
        <w:t>Poppy Arford (Consumer)</w:t>
      </w:r>
    </w:p>
    <w:p w:rsidR="00585463" w:rsidRPr="00382C14" w:rsidRDefault="00585463" w:rsidP="00B360D6">
      <w:pPr>
        <w:pStyle w:val="NoSpacing"/>
      </w:pPr>
    </w:p>
    <w:p w:rsidR="00B360D6" w:rsidRDefault="00B360D6" w:rsidP="008D18D1">
      <w:pPr>
        <w:pStyle w:val="NoSpacing"/>
      </w:pPr>
      <w:r w:rsidRPr="008D18D1">
        <w:rPr>
          <w:b/>
        </w:rPr>
        <w:t>Interested Parties &amp; Guests</w:t>
      </w:r>
      <w:r w:rsidR="00B10C95" w:rsidRPr="00382C14">
        <w:t xml:space="preserve">: </w:t>
      </w:r>
      <w:r w:rsidR="0045597A">
        <w:t xml:space="preserve">Christopher Pezzullo, Dale Hamilton, Kristine Ossenfort (Anthem BCBS), Rhonda Selvin (MaineGeneral Health), </w:t>
      </w:r>
      <w:r w:rsidR="00A028AE">
        <w:t xml:space="preserve">Jessica Newman (Lewin), Andy Paradis (Lewin), </w:t>
      </w:r>
      <w:r w:rsidR="006C04F9">
        <w:t>Jade Christie-Maples (Lewin),</w:t>
      </w:r>
      <w:r w:rsidR="00644791">
        <w:t xml:space="preserve"> </w:t>
      </w:r>
      <w:r w:rsidR="0045597A">
        <w:t>Jim Kupel</w:t>
      </w:r>
      <w:r w:rsidR="00644791">
        <w:t xml:space="preserve"> (Crescendo Consulting)</w:t>
      </w:r>
      <w:r w:rsidR="00E063EF">
        <w:t>, Brian Robertson (Market Decisions), Randal Chenard (SIM)</w:t>
      </w:r>
    </w:p>
    <w:p w:rsidR="0040415D" w:rsidRDefault="0040415D" w:rsidP="008D18D1">
      <w:pPr>
        <w:pStyle w:val="NoSpacing"/>
      </w:pPr>
    </w:p>
    <w:p w:rsidR="0040415D" w:rsidRPr="0040415D" w:rsidRDefault="0040415D" w:rsidP="008D18D1">
      <w:pPr>
        <w:pStyle w:val="NoSpacing"/>
        <w:rPr>
          <w:b/>
        </w:rPr>
      </w:pPr>
      <w:r w:rsidRPr="0040415D">
        <w:rPr>
          <w:b/>
        </w:rPr>
        <w:t>Unable to attend</w:t>
      </w:r>
      <w:r w:rsidRPr="00132219">
        <w:t>:</w:t>
      </w:r>
      <w:r w:rsidR="00132219">
        <w:t xml:space="preserve"> </w:t>
      </w:r>
      <w:r w:rsidR="00BA1389">
        <w:t xml:space="preserve">Peter Kraut (DHHS/MaineCare), </w:t>
      </w:r>
      <w:bookmarkStart w:id="0" w:name="_GoBack"/>
      <w:bookmarkEnd w:id="0"/>
      <w:r w:rsidR="00132219">
        <w:t xml:space="preserve">Simonne Maline (Consumer), </w:t>
      </w:r>
      <w:r w:rsidRPr="00132219">
        <w:t>Sheryl</w:t>
      </w:r>
      <w:r>
        <w:t xml:space="preserve"> Peave</w:t>
      </w:r>
      <w:r w:rsidR="00132219">
        <w:t>y (DHHS/C</w:t>
      </w:r>
      <w:r w:rsidR="00A028AE">
        <w:t>ommissioner’s Office)</w:t>
      </w:r>
      <w:r w:rsidR="00DC5C80">
        <w:t xml:space="preserve">, </w:t>
      </w:r>
      <w:r w:rsidR="00644791" w:rsidRPr="00132219">
        <w:t>Shaun Alfreds (Health</w:t>
      </w:r>
      <w:r w:rsidR="00644791">
        <w:t xml:space="preserve"> </w:t>
      </w:r>
      <w:r w:rsidR="00644791" w:rsidRPr="00132219">
        <w:t>Infonet</w:t>
      </w:r>
      <w:r w:rsidR="00416F02">
        <w:t>)</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E1035C" w:rsidRPr="00382C14" w:rsidTr="00FB5488">
        <w:tc>
          <w:tcPr>
            <w:tcW w:w="2178" w:type="dxa"/>
            <w:vAlign w:val="center"/>
          </w:tcPr>
          <w:p w:rsidR="00E1035C" w:rsidRPr="00382C14" w:rsidRDefault="00826C04" w:rsidP="003847D2">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Welcome &amp; Introductions</w:t>
            </w:r>
            <w:r w:rsidR="00CA676A">
              <w:rPr>
                <w:rFonts w:asciiTheme="minorHAnsi" w:hAnsiTheme="minorHAnsi" w:cstheme="minorHAnsi"/>
                <w:b/>
                <w:sz w:val="22"/>
                <w:szCs w:val="22"/>
              </w:rPr>
              <w:t>, Goals of meeting</w:t>
            </w:r>
          </w:p>
        </w:tc>
        <w:tc>
          <w:tcPr>
            <w:tcW w:w="1350" w:type="dxa"/>
          </w:tcPr>
          <w:p w:rsidR="00E1035C" w:rsidRDefault="00826C04"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p w:rsidR="008301E0" w:rsidRPr="00382C14" w:rsidRDefault="008301E0"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tc>
        <w:tc>
          <w:tcPr>
            <w:tcW w:w="5130" w:type="dxa"/>
          </w:tcPr>
          <w:p w:rsidR="00E3623E" w:rsidRPr="00E3623E" w:rsidRDefault="00E3623E" w:rsidP="00D32F52">
            <w:pPr>
              <w:pStyle w:val="Formal1"/>
              <w:numPr>
                <w:ilvl w:val="0"/>
                <w:numId w:val="4"/>
              </w:numPr>
              <w:rPr>
                <w:rFonts w:asciiTheme="minorHAnsi" w:hAnsiTheme="minorHAnsi" w:cstheme="minorHAnsi"/>
                <w:sz w:val="22"/>
                <w:szCs w:val="22"/>
              </w:rPr>
            </w:pPr>
            <w:r w:rsidRPr="00E3623E">
              <w:rPr>
                <w:rFonts w:asciiTheme="minorHAnsi" w:hAnsiTheme="minorHAnsi" w:cstheme="minorHAnsi"/>
                <w:sz w:val="22"/>
                <w:szCs w:val="22"/>
              </w:rPr>
              <w:t>Provide a status update on SIM Self-Evaluation provider, key stakeholder, and consumer interviews</w:t>
            </w:r>
          </w:p>
          <w:p w:rsidR="00E3623E" w:rsidRPr="00E3623E" w:rsidRDefault="00E3623E" w:rsidP="00D32F52">
            <w:pPr>
              <w:pStyle w:val="Formal1"/>
              <w:numPr>
                <w:ilvl w:val="0"/>
                <w:numId w:val="4"/>
              </w:numPr>
              <w:rPr>
                <w:rFonts w:asciiTheme="minorHAnsi" w:hAnsiTheme="minorHAnsi" w:cstheme="minorHAnsi"/>
                <w:sz w:val="22"/>
                <w:szCs w:val="22"/>
              </w:rPr>
            </w:pPr>
            <w:r w:rsidRPr="00E3623E">
              <w:rPr>
                <w:rFonts w:asciiTheme="minorHAnsi" w:hAnsiTheme="minorHAnsi" w:cstheme="minorHAnsi"/>
                <w:sz w:val="22"/>
                <w:szCs w:val="22"/>
              </w:rPr>
              <w:t>Provide input to Crescendo and Market Decisions regarding format and what to include in reports</w:t>
            </w:r>
          </w:p>
          <w:p w:rsidR="00E3623E" w:rsidRPr="00E3623E" w:rsidRDefault="00E3623E" w:rsidP="00D32F52">
            <w:pPr>
              <w:pStyle w:val="Formal1"/>
              <w:numPr>
                <w:ilvl w:val="0"/>
                <w:numId w:val="4"/>
              </w:numPr>
              <w:rPr>
                <w:rFonts w:asciiTheme="minorHAnsi" w:hAnsiTheme="minorHAnsi" w:cstheme="minorHAnsi"/>
                <w:sz w:val="22"/>
                <w:szCs w:val="22"/>
              </w:rPr>
            </w:pPr>
            <w:r w:rsidRPr="00E3623E">
              <w:rPr>
                <w:rFonts w:asciiTheme="minorHAnsi" w:hAnsiTheme="minorHAnsi" w:cstheme="minorHAnsi"/>
                <w:sz w:val="22"/>
                <w:szCs w:val="22"/>
              </w:rPr>
              <w:t>Review risks previously identified and identify any additional risks that require discussion</w:t>
            </w:r>
          </w:p>
          <w:p w:rsidR="00B730FC" w:rsidRPr="00E3623E" w:rsidRDefault="00E3623E" w:rsidP="00D32F52">
            <w:pPr>
              <w:pStyle w:val="Formal1"/>
              <w:numPr>
                <w:ilvl w:val="0"/>
                <w:numId w:val="4"/>
              </w:numPr>
              <w:rPr>
                <w:rFonts w:asciiTheme="minorHAnsi" w:hAnsiTheme="minorHAnsi" w:cstheme="minorHAnsi"/>
                <w:sz w:val="22"/>
                <w:szCs w:val="22"/>
              </w:rPr>
            </w:pPr>
            <w:r w:rsidRPr="00E3623E">
              <w:rPr>
                <w:rFonts w:asciiTheme="minorHAnsi" w:hAnsiTheme="minorHAnsi" w:cstheme="minorHAnsi"/>
                <w:sz w:val="22"/>
                <w:szCs w:val="22"/>
              </w:rPr>
              <w:t xml:space="preserve">Review goal setting process for Core Measures </w:t>
            </w:r>
          </w:p>
        </w:tc>
        <w:tc>
          <w:tcPr>
            <w:tcW w:w="4604" w:type="dxa"/>
          </w:tcPr>
          <w:p w:rsidR="00E1035C" w:rsidRPr="009A7859" w:rsidRDefault="00E1035C" w:rsidP="00FB5488">
            <w:pPr>
              <w:pStyle w:val="Formal1"/>
              <w:rPr>
                <w:rFonts w:asciiTheme="minorHAnsi" w:hAnsiTheme="minorHAnsi" w:cstheme="minorHAnsi"/>
                <w:sz w:val="22"/>
                <w:szCs w:val="22"/>
              </w:rPr>
            </w:pPr>
          </w:p>
        </w:tc>
      </w:tr>
      <w:tr w:rsidR="00644791" w:rsidRPr="00382C14" w:rsidTr="00FB5488">
        <w:trPr>
          <w:trHeight w:val="620"/>
        </w:trPr>
        <w:tc>
          <w:tcPr>
            <w:tcW w:w="2178" w:type="dxa"/>
            <w:vAlign w:val="center"/>
          </w:tcPr>
          <w:p w:rsidR="00644791" w:rsidRPr="008301E0" w:rsidRDefault="00644791" w:rsidP="0042176F">
            <w:pPr>
              <w:pStyle w:val="ListParagraph"/>
              <w:numPr>
                <w:ilvl w:val="0"/>
                <w:numId w:val="1"/>
              </w:numPr>
              <w:spacing w:before="120" w:after="120"/>
              <w:rPr>
                <w:b/>
              </w:rPr>
            </w:pPr>
            <w:r w:rsidRPr="008301E0">
              <w:rPr>
                <w:b/>
              </w:rPr>
              <w:t xml:space="preserve">Review and Approve </w:t>
            </w:r>
            <w:r w:rsidR="0042176F">
              <w:rPr>
                <w:b/>
              </w:rPr>
              <w:t>May 27</w:t>
            </w:r>
            <w:r w:rsidR="00E063EF">
              <w:rPr>
                <w:b/>
              </w:rPr>
              <w:t xml:space="preserve">, </w:t>
            </w:r>
            <w:r w:rsidRPr="008301E0">
              <w:rPr>
                <w:b/>
              </w:rPr>
              <w:t xml:space="preserve">2015 Meeting </w:t>
            </w:r>
            <w:r w:rsidRPr="008301E0">
              <w:rPr>
                <w:b/>
              </w:rPr>
              <w:lastRenderedPageBreak/>
              <w:t>Minutes</w:t>
            </w:r>
          </w:p>
        </w:tc>
        <w:tc>
          <w:tcPr>
            <w:tcW w:w="1350" w:type="dxa"/>
          </w:tcPr>
          <w:p w:rsidR="00644791" w:rsidRPr="00382C14" w:rsidRDefault="0042176F" w:rsidP="00FB5488">
            <w:pPr>
              <w:rPr>
                <w:b/>
              </w:rPr>
            </w:pPr>
            <w:r>
              <w:rPr>
                <w:b/>
              </w:rPr>
              <w:lastRenderedPageBreak/>
              <w:t>Woods</w:t>
            </w:r>
          </w:p>
        </w:tc>
        <w:tc>
          <w:tcPr>
            <w:tcW w:w="5130" w:type="dxa"/>
          </w:tcPr>
          <w:p w:rsidR="009B33CB" w:rsidRDefault="0045597A" w:rsidP="00D32F52">
            <w:pPr>
              <w:pStyle w:val="ListParagraph"/>
              <w:numPr>
                <w:ilvl w:val="0"/>
                <w:numId w:val="2"/>
              </w:numPr>
              <w:rPr>
                <w:rFonts w:cstheme="minorHAnsi"/>
              </w:rPr>
            </w:pPr>
            <w:r>
              <w:rPr>
                <w:rFonts w:cstheme="minorHAnsi"/>
              </w:rPr>
              <w:t>An amendment was proposed to clarify that only benchmarks for MaineCare have been calculated.</w:t>
            </w:r>
          </w:p>
          <w:p w:rsidR="0045597A" w:rsidRPr="00A028AE" w:rsidRDefault="0045597A" w:rsidP="00D32F52">
            <w:pPr>
              <w:pStyle w:val="ListParagraph"/>
              <w:numPr>
                <w:ilvl w:val="0"/>
                <w:numId w:val="2"/>
              </w:numPr>
              <w:rPr>
                <w:rFonts w:cstheme="minorHAnsi"/>
              </w:rPr>
            </w:pPr>
            <w:r>
              <w:rPr>
                <w:rFonts w:cstheme="minorHAnsi"/>
              </w:rPr>
              <w:t xml:space="preserve">With the amendment included, the minutes were approved unanimously. </w:t>
            </w:r>
          </w:p>
        </w:tc>
        <w:tc>
          <w:tcPr>
            <w:tcW w:w="4604" w:type="dxa"/>
          </w:tcPr>
          <w:p w:rsidR="00644791" w:rsidRPr="00DF3E2D" w:rsidRDefault="00E3623E" w:rsidP="00D32F52">
            <w:pPr>
              <w:pStyle w:val="ListParagraph"/>
              <w:numPr>
                <w:ilvl w:val="0"/>
                <w:numId w:val="2"/>
              </w:numPr>
              <w:rPr>
                <w:rFonts w:cstheme="minorHAnsi"/>
              </w:rPr>
            </w:pPr>
            <w:r>
              <w:rPr>
                <w:rFonts w:cstheme="minorHAnsi"/>
              </w:rPr>
              <w:t xml:space="preserve">Minutes will be posted to the SIM website once amendment is applied. </w:t>
            </w:r>
          </w:p>
        </w:tc>
      </w:tr>
      <w:tr w:rsidR="00644791" w:rsidRPr="00382C14" w:rsidTr="00FB5488">
        <w:tc>
          <w:tcPr>
            <w:tcW w:w="2178" w:type="dxa"/>
            <w:vAlign w:val="center"/>
          </w:tcPr>
          <w:p w:rsidR="00644791" w:rsidRPr="003220C6" w:rsidRDefault="00E063EF" w:rsidP="00E063EF">
            <w:pPr>
              <w:pStyle w:val="ListParagraph"/>
              <w:numPr>
                <w:ilvl w:val="0"/>
                <w:numId w:val="1"/>
              </w:numPr>
              <w:spacing w:before="120" w:after="120"/>
              <w:rPr>
                <w:b/>
              </w:rPr>
            </w:pPr>
            <w:r>
              <w:rPr>
                <w:b/>
              </w:rPr>
              <w:lastRenderedPageBreak/>
              <w:t>Status update:</w:t>
            </w:r>
            <w:r w:rsidR="00644791" w:rsidRPr="003220C6">
              <w:rPr>
                <w:b/>
              </w:rPr>
              <w:t xml:space="preserve"> Provider</w:t>
            </w:r>
            <w:r>
              <w:rPr>
                <w:b/>
              </w:rPr>
              <w:t xml:space="preserve"> and Key Stakeholder Interviews</w:t>
            </w:r>
          </w:p>
        </w:tc>
        <w:tc>
          <w:tcPr>
            <w:tcW w:w="1350" w:type="dxa"/>
          </w:tcPr>
          <w:p w:rsidR="00644791" w:rsidRDefault="0045597A" w:rsidP="00FB5488">
            <w:pPr>
              <w:rPr>
                <w:b/>
              </w:rPr>
            </w:pPr>
            <w:r>
              <w:rPr>
                <w:b/>
              </w:rPr>
              <w:t>Kupel</w:t>
            </w:r>
          </w:p>
        </w:tc>
        <w:tc>
          <w:tcPr>
            <w:tcW w:w="5130" w:type="dxa"/>
          </w:tcPr>
          <w:p w:rsidR="00A35524" w:rsidRDefault="00E3623E" w:rsidP="00D32F52">
            <w:pPr>
              <w:pStyle w:val="ListParagraph"/>
              <w:numPr>
                <w:ilvl w:val="0"/>
                <w:numId w:val="6"/>
              </w:numPr>
              <w:rPr>
                <w:rFonts w:cstheme="minorHAnsi"/>
              </w:rPr>
            </w:pPr>
            <w:r>
              <w:rPr>
                <w:rFonts w:cstheme="minorHAnsi"/>
              </w:rPr>
              <w:t xml:space="preserve">Crescendo has met its interview goals and the instrument has resulted in very responsive feedback from providers and stakeholders. </w:t>
            </w:r>
          </w:p>
          <w:p w:rsidR="00E3623E" w:rsidRPr="00A028AE" w:rsidRDefault="00E3623E" w:rsidP="00D4350F">
            <w:pPr>
              <w:pStyle w:val="ListParagraph"/>
              <w:numPr>
                <w:ilvl w:val="0"/>
                <w:numId w:val="6"/>
              </w:numPr>
              <w:rPr>
                <w:rFonts w:cstheme="minorHAnsi"/>
              </w:rPr>
            </w:pPr>
            <w:r>
              <w:rPr>
                <w:rFonts w:cstheme="minorHAnsi"/>
              </w:rPr>
              <w:t xml:space="preserve">The subcommittee discussed ensuring they are able to access actionable data soon. </w:t>
            </w:r>
            <w:r w:rsidR="00D4350F">
              <w:rPr>
                <w:rFonts w:cstheme="minorHAnsi"/>
              </w:rPr>
              <w:t xml:space="preserve">Requested wherever possible to align characteristics of responses to relevant cohorts (e.g. HH, BH HH, etc). </w:t>
            </w:r>
            <w:r>
              <w:rPr>
                <w:rFonts w:cstheme="minorHAnsi"/>
              </w:rPr>
              <w:t xml:space="preserve">Lewin and OCQI </w:t>
            </w:r>
            <w:r w:rsidR="00D4350F">
              <w:rPr>
                <w:rFonts w:cstheme="minorHAnsi"/>
              </w:rPr>
              <w:t>will</w:t>
            </w:r>
            <w:r>
              <w:rPr>
                <w:rFonts w:cstheme="minorHAnsi"/>
              </w:rPr>
              <w:t xml:space="preserve"> meet with Crescendo to </w:t>
            </w:r>
            <w:r w:rsidR="00A40865">
              <w:rPr>
                <w:rFonts w:cstheme="minorHAnsi"/>
              </w:rPr>
              <w:t>prepare a review of preliminary actionable items for committee discussion at the July meeting.</w:t>
            </w:r>
          </w:p>
        </w:tc>
        <w:tc>
          <w:tcPr>
            <w:tcW w:w="4604" w:type="dxa"/>
          </w:tcPr>
          <w:p w:rsidR="00416F02" w:rsidRPr="00E3623E" w:rsidRDefault="00A60FFE" w:rsidP="00D32F52">
            <w:pPr>
              <w:pStyle w:val="ListParagraph"/>
              <w:numPr>
                <w:ilvl w:val="0"/>
                <w:numId w:val="2"/>
              </w:numPr>
              <w:rPr>
                <w:rFonts w:cstheme="minorHAnsi"/>
              </w:rPr>
            </w:pPr>
            <w:r w:rsidRPr="00E3623E">
              <w:rPr>
                <w:rFonts w:cstheme="minorHAnsi"/>
              </w:rPr>
              <w:t>Committee to Provide input to Crescendo regarding final report format and other desired information</w:t>
            </w:r>
            <w:r w:rsidR="00E3623E">
              <w:rPr>
                <w:rFonts w:cstheme="minorHAnsi"/>
              </w:rPr>
              <w:t xml:space="preserve"> by June 30</w:t>
            </w:r>
            <w:r w:rsidR="00E3623E" w:rsidRPr="00E3623E">
              <w:rPr>
                <w:rFonts w:cstheme="minorHAnsi"/>
                <w:vertAlign w:val="superscript"/>
              </w:rPr>
              <w:t>th</w:t>
            </w:r>
            <w:r w:rsidR="00E3623E">
              <w:rPr>
                <w:rFonts w:cstheme="minorHAnsi"/>
              </w:rPr>
              <w:t xml:space="preserve">. </w:t>
            </w:r>
          </w:p>
        </w:tc>
      </w:tr>
      <w:tr w:rsidR="00E063EF" w:rsidRPr="00382C14" w:rsidTr="00FB5488">
        <w:tc>
          <w:tcPr>
            <w:tcW w:w="2178" w:type="dxa"/>
            <w:vAlign w:val="center"/>
          </w:tcPr>
          <w:p w:rsidR="00E063EF" w:rsidRDefault="00E063EF" w:rsidP="003847D2">
            <w:pPr>
              <w:pStyle w:val="ListParagraph"/>
              <w:numPr>
                <w:ilvl w:val="0"/>
                <w:numId w:val="1"/>
              </w:numPr>
              <w:spacing w:before="120" w:after="120"/>
              <w:rPr>
                <w:b/>
              </w:rPr>
            </w:pPr>
            <w:r>
              <w:rPr>
                <w:b/>
              </w:rPr>
              <w:t>Status update: Consumer Interviews</w:t>
            </w:r>
          </w:p>
        </w:tc>
        <w:tc>
          <w:tcPr>
            <w:tcW w:w="1350" w:type="dxa"/>
          </w:tcPr>
          <w:p w:rsidR="00E063EF" w:rsidRDefault="00E063EF" w:rsidP="00FB5488">
            <w:pPr>
              <w:rPr>
                <w:b/>
              </w:rPr>
            </w:pPr>
            <w:r>
              <w:rPr>
                <w:b/>
              </w:rPr>
              <w:t>Robertson</w:t>
            </w:r>
          </w:p>
        </w:tc>
        <w:tc>
          <w:tcPr>
            <w:tcW w:w="5130" w:type="dxa"/>
          </w:tcPr>
          <w:p w:rsidR="00B70D30" w:rsidRDefault="00E3623E" w:rsidP="00D32F52">
            <w:pPr>
              <w:pStyle w:val="ListParagraph"/>
              <w:numPr>
                <w:ilvl w:val="0"/>
                <w:numId w:val="2"/>
              </w:numPr>
              <w:contextualSpacing/>
              <w:rPr>
                <w:rFonts w:cstheme="minorHAnsi"/>
              </w:rPr>
            </w:pPr>
            <w:r>
              <w:rPr>
                <w:rFonts w:cstheme="minorHAnsi"/>
              </w:rPr>
              <w:t xml:space="preserve">Consumer interviews are still underway. The mailed survey resulted in fewer responses </w:t>
            </w:r>
            <w:r w:rsidR="007B080F">
              <w:rPr>
                <w:rFonts w:cstheme="minorHAnsi"/>
              </w:rPr>
              <w:t xml:space="preserve">than originally anticipated. </w:t>
            </w:r>
            <w:r>
              <w:rPr>
                <w:rFonts w:cstheme="minorHAnsi"/>
              </w:rPr>
              <w:t xml:space="preserve">Market Decisions has restarted phone interviews and anticipate finishing data collection in early July. </w:t>
            </w:r>
          </w:p>
          <w:p w:rsidR="00E3623E" w:rsidRPr="00E91865" w:rsidRDefault="00E3623E" w:rsidP="00D4350F">
            <w:pPr>
              <w:pStyle w:val="ListParagraph"/>
              <w:numPr>
                <w:ilvl w:val="0"/>
                <w:numId w:val="2"/>
              </w:numPr>
              <w:contextualSpacing/>
              <w:rPr>
                <w:rFonts w:cstheme="minorHAnsi"/>
              </w:rPr>
            </w:pPr>
            <w:r>
              <w:rPr>
                <w:rFonts w:cstheme="minorHAnsi"/>
              </w:rPr>
              <w:t xml:space="preserve">Actionable data will focus on strengths and weaknesses identified in SIM based on consumer feedback, and how they are impacting outcomes. MaineCare is looking forward to incorporating this feedback into SIM initiatives. </w:t>
            </w:r>
            <w:r w:rsidR="00D4350F">
              <w:rPr>
                <w:rFonts w:cstheme="minorHAnsi"/>
              </w:rPr>
              <w:t>Requested wherever possible to align characteristics of responses to relevant cohorts (e.g. HH, BH HH, etc).Lewin and OCQI will meet with Market Decisions to prepare a review of preliminary actionable items for committee discussion at the July meeting.</w:t>
            </w:r>
          </w:p>
        </w:tc>
        <w:tc>
          <w:tcPr>
            <w:tcW w:w="4604" w:type="dxa"/>
          </w:tcPr>
          <w:p w:rsidR="00E063EF" w:rsidRPr="00AA6364" w:rsidRDefault="00E3623E" w:rsidP="00D32F52">
            <w:pPr>
              <w:pStyle w:val="ListParagraph"/>
              <w:numPr>
                <w:ilvl w:val="0"/>
                <w:numId w:val="2"/>
              </w:numPr>
              <w:rPr>
                <w:rFonts w:cstheme="minorHAnsi"/>
              </w:rPr>
            </w:pPr>
            <w:r w:rsidRPr="00E3623E">
              <w:rPr>
                <w:rFonts w:cstheme="minorHAnsi"/>
              </w:rPr>
              <w:t>Committee to Provide input to Crescendo regarding final report format and other desired information</w:t>
            </w:r>
            <w:r>
              <w:rPr>
                <w:rFonts w:cstheme="minorHAnsi"/>
              </w:rPr>
              <w:t xml:space="preserve"> by June 30</w:t>
            </w:r>
            <w:r w:rsidRPr="00E3623E">
              <w:rPr>
                <w:rFonts w:cstheme="minorHAnsi"/>
                <w:vertAlign w:val="superscript"/>
              </w:rPr>
              <w:t>th</w:t>
            </w:r>
            <w:r>
              <w:rPr>
                <w:rFonts w:cstheme="minorHAnsi"/>
              </w:rPr>
              <w:t>.</w:t>
            </w:r>
          </w:p>
        </w:tc>
      </w:tr>
      <w:tr w:rsidR="00644791" w:rsidRPr="00382C14" w:rsidTr="00FB5488">
        <w:tc>
          <w:tcPr>
            <w:tcW w:w="2178" w:type="dxa"/>
            <w:vAlign w:val="center"/>
          </w:tcPr>
          <w:p w:rsidR="00922930" w:rsidRPr="00E063EF" w:rsidRDefault="0042176F" w:rsidP="00E063EF">
            <w:pPr>
              <w:pStyle w:val="ListParagraph"/>
              <w:numPr>
                <w:ilvl w:val="0"/>
                <w:numId w:val="1"/>
              </w:numPr>
              <w:spacing w:before="120" w:after="120"/>
              <w:contextualSpacing/>
              <w:rPr>
                <w:b/>
              </w:rPr>
            </w:pPr>
            <w:r>
              <w:rPr>
                <w:b/>
              </w:rPr>
              <w:t>Risk Identification and Discussion</w:t>
            </w:r>
          </w:p>
        </w:tc>
        <w:tc>
          <w:tcPr>
            <w:tcW w:w="1350" w:type="dxa"/>
          </w:tcPr>
          <w:p w:rsidR="00E063EF" w:rsidRDefault="0042176F" w:rsidP="00FB5488">
            <w:pPr>
              <w:rPr>
                <w:b/>
              </w:rPr>
            </w:pPr>
            <w:r>
              <w:rPr>
                <w:b/>
              </w:rPr>
              <w:t xml:space="preserve">Wagner </w:t>
            </w:r>
          </w:p>
          <w:p w:rsidR="0042176F" w:rsidRPr="00382C14" w:rsidRDefault="0042176F" w:rsidP="00FB5488">
            <w:pPr>
              <w:rPr>
                <w:b/>
              </w:rPr>
            </w:pPr>
            <w:r>
              <w:rPr>
                <w:b/>
              </w:rPr>
              <w:t>Woods</w:t>
            </w:r>
          </w:p>
        </w:tc>
        <w:tc>
          <w:tcPr>
            <w:tcW w:w="5130" w:type="dxa"/>
          </w:tcPr>
          <w:p w:rsidR="007B080F" w:rsidRPr="007B080F" w:rsidRDefault="007B080F" w:rsidP="00D32F52">
            <w:pPr>
              <w:pStyle w:val="ListParagraph"/>
              <w:numPr>
                <w:ilvl w:val="0"/>
                <w:numId w:val="2"/>
              </w:numPr>
              <w:contextualSpacing/>
              <w:rPr>
                <w:rFonts w:cstheme="minorHAnsi"/>
              </w:rPr>
            </w:pPr>
            <w:r w:rsidRPr="007B080F">
              <w:rPr>
                <w:rFonts w:cstheme="minorHAnsi"/>
              </w:rPr>
              <w:t>Risks previously identified</w:t>
            </w:r>
            <w:r>
              <w:rPr>
                <w:rFonts w:cstheme="minorHAnsi"/>
              </w:rPr>
              <w:t>:</w:t>
            </w:r>
          </w:p>
          <w:p w:rsidR="007B080F" w:rsidRPr="007B080F" w:rsidRDefault="007B080F" w:rsidP="00D32F52">
            <w:pPr>
              <w:pStyle w:val="ListParagraph"/>
              <w:numPr>
                <w:ilvl w:val="1"/>
                <w:numId w:val="2"/>
              </w:numPr>
              <w:ind w:left="648"/>
              <w:contextualSpacing/>
              <w:rPr>
                <w:rFonts w:cstheme="minorHAnsi"/>
              </w:rPr>
            </w:pPr>
            <w:r w:rsidRPr="007B080F">
              <w:rPr>
                <w:rFonts w:cstheme="minorHAnsi"/>
              </w:rPr>
              <w:t>Delays in access to Medicare data</w:t>
            </w:r>
          </w:p>
          <w:p w:rsidR="007B080F" w:rsidRPr="007B080F" w:rsidRDefault="007B080F" w:rsidP="00D32F52">
            <w:pPr>
              <w:pStyle w:val="ListParagraph"/>
              <w:numPr>
                <w:ilvl w:val="1"/>
                <w:numId w:val="2"/>
              </w:numPr>
              <w:ind w:left="648"/>
              <w:contextualSpacing/>
              <w:rPr>
                <w:rFonts w:cstheme="minorHAnsi"/>
              </w:rPr>
            </w:pPr>
            <w:r w:rsidRPr="007B080F">
              <w:rPr>
                <w:rFonts w:cstheme="minorHAnsi"/>
              </w:rPr>
              <w:t>Potential delays in timely access to Medicare data due to time lags in release of data</w:t>
            </w:r>
          </w:p>
          <w:p w:rsidR="007B080F" w:rsidRPr="007B080F" w:rsidRDefault="007B080F" w:rsidP="00D32F52">
            <w:pPr>
              <w:pStyle w:val="ListParagraph"/>
              <w:numPr>
                <w:ilvl w:val="1"/>
                <w:numId w:val="2"/>
              </w:numPr>
              <w:ind w:left="648"/>
              <w:contextualSpacing/>
              <w:rPr>
                <w:rFonts w:cstheme="minorHAnsi"/>
              </w:rPr>
            </w:pPr>
            <w:r w:rsidRPr="007B080F">
              <w:rPr>
                <w:rFonts w:cstheme="minorHAnsi"/>
              </w:rPr>
              <w:t>Potential delays in timely access to Commercial data due to time lags in release of data</w:t>
            </w:r>
          </w:p>
          <w:p w:rsidR="007B080F" w:rsidRPr="007B080F" w:rsidRDefault="007B080F" w:rsidP="00D32F52">
            <w:pPr>
              <w:pStyle w:val="ListParagraph"/>
              <w:numPr>
                <w:ilvl w:val="1"/>
                <w:numId w:val="2"/>
              </w:numPr>
              <w:ind w:left="648"/>
              <w:contextualSpacing/>
              <w:rPr>
                <w:rFonts w:cstheme="minorHAnsi"/>
              </w:rPr>
            </w:pPr>
            <w:r w:rsidRPr="007B080F">
              <w:rPr>
                <w:rFonts w:cstheme="minorHAnsi"/>
              </w:rPr>
              <w:lastRenderedPageBreak/>
              <w:t>Lack of access to clinical data for evaluation analysis purposes</w:t>
            </w:r>
          </w:p>
          <w:p w:rsidR="001C4F27" w:rsidRDefault="007B080F" w:rsidP="00D32F52">
            <w:pPr>
              <w:pStyle w:val="ListParagraph"/>
              <w:numPr>
                <w:ilvl w:val="0"/>
                <w:numId w:val="2"/>
              </w:numPr>
              <w:contextualSpacing/>
              <w:rPr>
                <w:rFonts w:cstheme="minorHAnsi"/>
              </w:rPr>
            </w:pPr>
            <w:r>
              <w:rPr>
                <w:rFonts w:cstheme="minorHAnsi"/>
              </w:rPr>
              <w:t xml:space="preserve">The delays in access to Medicare data due to processing of DUAs. The DUA has been sent to CMS for approval and it is anticipated Lewin will receive data through 2014 in July 2015. </w:t>
            </w:r>
          </w:p>
          <w:p w:rsidR="007B080F" w:rsidRDefault="007B080F" w:rsidP="00D32F52">
            <w:pPr>
              <w:pStyle w:val="ListParagraph"/>
              <w:numPr>
                <w:ilvl w:val="0"/>
                <w:numId w:val="2"/>
              </w:numPr>
              <w:contextualSpacing/>
              <w:rPr>
                <w:rFonts w:cstheme="minorHAnsi"/>
              </w:rPr>
            </w:pPr>
            <w:r>
              <w:rPr>
                <w:rFonts w:cstheme="minorHAnsi"/>
              </w:rPr>
              <w:t xml:space="preserve">The delays in access to commercial data have similarly been tied to delays in data processing. It is anticipated Lewin will receive claims data through March 2015 in July. </w:t>
            </w:r>
          </w:p>
          <w:p w:rsidR="007B080F" w:rsidRPr="00E91865" w:rsidRDefault="00A516A0" w:rsidP="00D32F52">
            <w:pPr>
              <w:pStyle w:val="ListParagraph"/>
              <w:numPr>
                <w:ilvl w:val="0"/>
                <w:numId w:val="2"/>
              </w:numPr>
              <w:contextualSpacing/>
              <w:rPr>
                <w:rFonts w:cstheme="minorHAnsi"/>
              </w:rPr>
            </w:pPr>
            <w:r>
              <w:rPr>
                <w:rFonts w:cstheme="minorHAnsi"/>
              </w:rPr>
              <w:t>There is a limited access to clinical data for evaluation purposes. Since many core measures</w:t>
            </w:r>
            <w:r w:rsidR="00AC578F">
              <w:rPr>
                <w:rFonts w:cstheme="minorHAnsi"/>
              </w:rPr>
              <w:t>, as well as the SPA reporting requirements,</w:t>
            </w:r>
            <w:r>
              <w:rPr>
                <w:rFonts w:cstheme="minorHAnsi"/>
              </w:rPr>
              <w:t xml:space="preserve"> are clinically based, it is an important issue to consider. The subcommittee decided this issue should be sent to the Data </w:t>
            </w:r>
            <w:r w:rsidR="00AC578F">
              <w:rPr>
                <w:rFonts w:cstheme="minorHAnsi"/>
              </w:rPr>
              <w:t>Infrastructure Subcommittee for further consideration.</w:t>
            </w:r>
          </w:p>
        </w:tc>
        <w:tc>
          <w:tcPr>
            <w:tcW w:w="4604" w:type="dxa"/>
          </w:tcPr>
          <w:p w:rsidR="0037241B" w:rsidRDefault="00AC578F" w:rsidP="00D32F52">
            <w:pPr>
              <w:pStyle w:val="ListParagraph"/>
              <w:numPr>
                <w:ilvl w:val="0"/>
                <w:numId w:val="2"/>
              </w:numPr>
              <w:rPr>
                <w:rFonts w:cstheme="minorHAnsi"/>
              </w:rPr>
            </w:pPr>
            <w:r>
              <w:rPr>
                <w:rFonts w:cstheme="minorHAnsi"/>
              </w:rPr>
              <w:lastRenderedPageBreak/>
              <w:t xml:space="preserve">Access to commercial and Medicare data is anticipated for July – Lewin and OCQI will </w:t>
            </w:r>
            <w:r w:rsidR="00D4350F">
              <w:rPr>
                <w:rFonts w:cstheme="minorHAnsi"/>
              </w:rPr>
              <w:t>provide update at</w:t>
            </w:r>
            <w:r>
              <w:rPr>
                <w:rFonts w:cstheme="minorHAnsi"/>
              </w:rPr>
              <w:t xml:space="preserve"> the </w:t>
            </w:r>
            <w:r w:rsidR="00D4350F">
              <w:rPr>
                <w:rFonts w:cstheme="minorHAnsi"/>
              </w:rPr>
              <w:t>July</w:t>
            </w:r>
            <w:r>
              <w:rPr>
                <w:rFonts w:cstheme="minorHAnsi"/>
              </w:rPr>
              <w:t xml:space="preserve"> meeting.</w:t>
            </w:r>
          </w:p>
          <w:p w:rsidR="00AC578F" w:rsidRDefault="00AC578F" w:rsidP="00D32F52">
            <w:pPr>
              <w:pStyle w:val="ListParagraph"/>
              <w:numPr>
                <w:ilvl w:val="0"/>
                <w:numId w:val="2"/>
              </w:numPr>
              <w:rPr>
                <w:rFonts w:cstheme="minorHAnsi"/>
              </w:rPr>
            </w:pPr>
            <w:r>
              <w:rPr>
                <w:rFonts w:cstheme="minorHAnsi"/>
              </w:rPr>
              <w:t>Clinical data access concerns will be sent to the Data Infrastructure Subcommittee for further consideration.</w:t>
            </w:r>
            <w:r w:rsidR="00D4350F">
              <w:rPr>
                <w:rFonts w:cstheme="minorHAnsi"/>
              </w:rPr>
              <w:t xml:space="preserve"> (Amy Wagner/Kathy </w:t>
            </w:r>
            <w:r w:rsidR="00D4350F">
              <w:rPr>
                <w:rFonts w:cstheme="minorHAnsi"/>
              </w:rPr>
              <w:lastRenderedPageBreak/>
              <w:t>Woods)</w:t>
            </w:r>
          </w:p>
          <w:p w:rsidR="00A65D3E" w:rsidRPr="00AA6364" w:rsidRDefault="00A65D3E" w:rsidP="00D32F52">
            <w:pPr>
              <w:pStyle w:val="ListParagraph"/>
              <w:numPr>
                <w:ilvl w:val="0"/>
                <w:numId w:val="2"/>
              </w:numPr>
              <w:rPr>
                <w:rFonts w:cstheme="minorHAnsi"/>
              </w:rPr>
            </w:pPr>
            <w:r>
              <w:rPr>
                <w:rFonts w:cstheme="minorHAnsi"/>
              </w:rPr>
              <w:t>Data time lags to be reported to Steering Committee as informational/ impact to Evaluation, but limited ability to resolve (Amy Wagner / Kathy Woods)</w:t>
            </w:r>
          </w:p>
        </w:tc>
      </w:tr>
      <w:tr w:rsidR="00644791" w:rsidRPr="00382C14" w:rsidTr="00FB5488">
        <w:tc>
          <w:tcPr>
            <w:tcW w:w="2178" w:type="dxa"/>
            <w:vAlign w:val="center"/>
          </w:tcPr>
          <w:p w:rsidR="00644791" w:rsidRPr="008301E0" w:rsidRDefault="0042176F" w:rsidP="003847D2">
            <w:pPr>
              <w:pStyle w:val="ListParagraph"/>
              <w:numPr>
                <w:ilvl w:val="0"/>
                <w:numId w:val="1"/>
              </w:numPr>
              <w:spacing w:before="120" w:after="120"/>
              <w:rPr>
                <w:b/>
              </w:rPr>
            </w:pPr>
            <w:r>
              <w:rPr>
                <w:b/>
              </w:rPr>
              <w:lastRenderedPageBreak/>
              <w:t>Goal Setting for Core Measures</w:t>
            </w:r>
          </w:p>
        </w:tc>
        <w:tc>
          <w:tcPr>
            <w:tcW w:w="1350" w:type="dxa"/>
          </w:tcPr>
          <w:p w:rsidR="008301E0" w:rsidRDefault="00922930" w:rsidP="00FB5488">
            <w:pPr>
              <w:rPr>
                <w:b/>
              </w:rPr>
            </w:pPr>
            <w:r>
              <w:rPr>
                <w:b/>
              </w:rPr>
              <w:t>Yoe</w:t>
            </w:r>
          </w:p>
          <w:p w:rsidR="0042176F" w:rsidRPr="00382C14" w:rsidRDefault="0042176F" w:rsidP="00FB5488">
            <w:pPr>
              <w:rPr>
                <w:b/>
              </w:rPr>
            </w:pPr>
            <w:r>
              <w:rPr>
                <w:b/>
              </w:rPr>
              <w:t>Chenard</w:t>
            </w:r>
          </w:p>
        </w:tc>
        <w:tc>
          <w:tcPr>
            <w:tcW w:w="5130" w:type="dxa"/>
          </w:tcPr>
          <w:p w:rsidR="007B080F" w:rsidRPr="007B080F" w:rsidRDefault="007B080F" w:rsidP="00D32F52">
            <w:pPr>
              <w:pStyle w:val="ListParagraph"/>
              <w:numPr>
                <w:ilvl w:val="0"/>
                <w:numId w:val="3"/>
              </w:numPr>
            </w:pPr>
            <w:r w:rsidRPr="007B080F">
              <w:t>The SIM core evaluation measure targets are intended to contribute to</w:t>
            </w:r>
            <w:r>
              <w:t xml:space="preserve"> the</w:t>
            </w:r>
            <w:r w:rsidRPr="007B080F">
              <w:t xml:space="preserve"> SIM Triple Aim goals</w:t>
            </w:r>
          </w:p>
          <w:p w:rsidR="005578D3" w:rsidRPr="007B080F" w:rsidRDefault="00A60FFE" w:rsidP="00D32F52">
            <w:pPr>
              <w:pStyle w:val="ListParagraph"/>
              <w:numPr>
                <w:ilvl w:val="0"/>
                <w:numId w:val="3"/>
              </w:numPr>
              <w:ind w:left="648"/>
            </w:pPr>
            <w:r w:rsidRPr="007B080F">
              <w:t>Sharpened focus creates more direct ability to evaluate SIM interventions and determine the overall trends throughout the State for all payer populations</w:t>
            </w:r>
          </w:p>
          <w:p w:rsidR="005578D3" w:rsidRPr="007B080F" w:rsidRDefault="00A60FFE" w:rsidP="00D32F52">
            <w:pPr>
              <w:pStyle w:val="ListParagraph"/>
              <w:numPr>
                <w:ilvl w:val="0"/>
                <w:numId w:val="3"/>
              </w:numPr>
              <w:ind w:left="648"/>
            </w:pPr>
            <w:r w:rsidRPr="007B080F">
              <w:t>Targets promote “laser beam focus” of all payers on critical and mutually agreed upon measures</w:t>
            </w:r>
          </w:p>
          <w:p w:rsidR="005578D3" w:rsidRPr="007B080F" w:rsidRDefault="00A60FFE" w:rsidP="00D32F52">
            <w:pPr>
              <w:pStyle w:val="ListParagraph"/>
              <w:numPr>
                <w:ilvl w:val="0"/>
                <w:numId w:val="3"/>
              </w:numPr>
              <w:ind w:left="648"/>
            </w:pPr>
            <w:r w:rsidRPr="007B080F">
              <w:t>Greater alignment of measures reduces administrative burden and change fatigue for providers</w:t>
            </w:r>
          </w:p>
          <w:p w:rsidR="007B080F" w:rsidRPr="007B080F" w:rsidRDefault="007B080F" w:rsidP="00D32F52">
            <w:pPr>
              <w:pStyle w:val="ListParagraph"/>
              <w:numPr>
                <w:ilvl w:val="0"/>
                <w:numId w:val="3"/>
              </w:numPr>
            </w:pPr>
            <w:r w:rsidRPr="007B080F">
              <w:t xml:space="preserve">SIM core evaluation measures and associated targets are </w:t>
            </w:r>
            <w:r w:rsidRPr="007B080F">
              <w:rPr>
                <w:b/>
                <w:bCs/>
                <w:u w:val="single"/>
              </w:rPr>
              <w:t>not</w:t>
            </w:r>
            <w:r w:rsidRPr="007B080F">
              <w:t xml:space="preserve"> intended to be used to determine payment amounts</w:t>
            </w:r>
          </w:p>
          <w:p w:rsidR="007B080F" w:rsidRPr="007B080F" w:rsidRDefault="007B080F" w:rsidP="00D32F52">
            <w:pPr>
              <w:pStyle w:val="ListParagraph"/>
              <w:numPr>
                <w:ilvl w:val="0"/>
                <w:numId w:val="3"/>
              </w:numPr>
            </w:pPr>
            <w:r w:rsidRPr="007B080F">
              <w:t xml:space="preserve">The Maine Leadership Team is charging the SIM </w:t>
            </w:r>
            <w:r w:rsidRPr="007B080F">
              <w:lastRenderedPageBreak/>
              <w:t xml:space="preserve">Steering Committee with the development of SIM core evaluation measure targets </w:t>
            </w:r>
            <w:r w:rsidR="007857DA">
              <w:t xml:space="preserve">for MaineCare, Commercial, and Medicare </w:t>
            </w:r>
            <w:r w:rsidRPr="007B080F">
              <w:t>by the end of SIM Year 2</w:t>
            </w:r>
            <w:r>
              <w:t xml:space="preserve"> - </w:t>
            </w:r>
            <w:r w:rsidRPr="007B080F">
              <w:t>September 30, 2015</w:t>
            </w:r>
            <w:r>
              <w:t>.</w:t>
            </w:r>
          </w:p>
          <w:p w:rsidR="007B080F" w:rsidRDefault="00B64438" w:rsidP="00D32F52">
            <w:pPr>
              <w:pStyle w:val="ListParagraph"/>
              <w:numPr>
                <w:ilvl w:val="0"/>
                <w:numId w:val="3"/>
              </w:numPr>
            </w:pPr>
            <w:r>
              <w:t xml:space="preserve">The group discussed the importance of correctly attributing changes observed in the evaluation to their respective influencers (SIM and non-SIM), and the importance of setting realistic goals that are aimed at the key areas the state wants to address. </w:t>
            </w:r>
          </w:p>
          <w:p w:rsidR="007857DA" w:rsidRDefault="007857DA" w:rsidP="00D32F52">
            <w:pPr>
              <w:pStyle w:val="ListParagraph"/>
              <w:numPr>
                <w:ilvl w:val="0"/>
                <w:numId w:val="3"/>
              </w:numPr>
            </w:pPr>
            <w:r>
              <w:t>Target setting messaging also needs to include the fact that the targets are at the state-wide level looking across the SIM initiative, not at the  individual practice level</w:t>
            </w:r>
          </w:p>
          <w:p w:rsidR="007857DA" w:rsidRPr="00124585" w:rsidRDefault="007857DA" w:rsidP="00D32F52">
            <w:pPr>
              <w:pStyle w:val="ListParagraph"/>
              <w:numPr>
                <w:ilvl w:val="0"/>
                <w:numId w:val="3"/>
              </w:numPr>
            </w:pPr>
            <w:r>
              <w:t>The committee requested additional written definition/clarity of the various fields on the core measure grid &amp; the process by which the fields were determined (e.g. risk adjustment, benchmarks)</w:t>
            </w:r>
          </w:p>
        </w:tc>
        <w:tc>
          <w:tcPr>
            <w:tcW w:w="4604" w:type="dxa"/>
          </w:tcPr>
          <w:p w:rsidR="008E3D83" w:rsidRDefault="00A65D3E" w:rsidP="00A65D3E">
            <w:pPr>
              <w:pStyle w:val="ListParagraph"/>
              <w:numPr>
                <w:ilvl w:val="0"/>
                <w:numId w:val="3"/>
              </w:numPr>
              <w:contextualSpacing/>
              <w:rPr>
                <w:bCs/>
              </w:rPr>
            </w:pPr>
            <w:r>
              <w:rPr>
                <w:bCs/>
              </w:rPr>
              <w:lastRenderedPageBreak/>
              <w:t>Dr. Yoe working with MaineCare to finalize MaineCare targets (those unable to be discussed at the June meeting)- final MaineCare targets will be presented to the committee in July; a process paper/ definition document will be disseminated along with the MaineCare targets &amp; will be utilized as the framework for establishing Commercial &amp; Medicare targets.</w:t>
            </w:r>
          </w:p>
          <w:p w:rsidR="000A02A6" w:rsidRPr="001D1950" w:rsidRDefault="000A02A6" w:rsidP="00A65D3E">
            <w:pPr>
              <w:pStyle w:val="ListParagraph"/>
              <w:numPr>
                <w:ilvl w:val="0"/>
                <w:numId w:val="3"/>
              </w:numPr>
              <w:contextualSpacing/>
              <w:rPr>
                <w:bCs/>
              </w:rPr>
            </w:pPr>
            <w:r>
              <w:rPr>
                <w:bCs/>
              </w:rPr>
              <w:t>Provider representatives from Delivery System Reform committee will be invited to join continuation of discussion at the July meeting</w:t>
            </w:r>
          </w:p>
        </w:tc>
      </w:tr>
      <w:tr w:rsidR="00E063EF" w:rsidRPr="00382C14" w:rsidTr="00FB5488">
        <w:tc>
          <w:tcPr>
            <w:tcW w:w="2178" w:type="dxa"/>
            <w:vAlign w:val="center"/>
          </w:tcPr>
          <w:p w:rsidR="00E063EF" w:rsidRDefault="0042176F" w:rsidP="00E063EF">
            <w:pPr>
              <w:pStyle w:val="ListParagraph"/>
              <w:numPr>
                <w:ilvl w:val="0"/>
                <w:numId w:val="1"/>
              </w:numPr>
              <w:spacing w:before="120" w:after="120"/>
              <w:rPr>
                <w:b/>
              </w:rPr>
            </w:pPr>
            <w:r>
              <w:rPr>
                <w:b/>
              </w:rPr>
              <w:lastRenderedPageBreak/>
              <w:t>Next Steps</w:t>
            </w:r>
          </w:p>
        </w:tc>
        <w:tc>
          <w:tcPr>
            <w:tcW w:w="1350" w:type="dxa"/>
          </w:tcPr>
          <w:p w:rsidR="00E063EF" w:rsidRDefault="00B64438" w:rsidP="00FB5488">
            <w:pPr>
              <w:rPr>
                <w:b/>
              </w:rPr>
            </w:pPr>
            <w:r>
              <w:rPr>
                <w:b/>
              </w:rPr>
              <w:t>Wagner</w:t>
            </w:r>
          </w:p>
          <w:p w:rsidR="00B64438" w:rsidRDefault="00B64438" w:rsidP="00FB5488">
            <w:pPr>
              <w:rPr>
                <w:b/>
              </w:rPr>
            </w:pPr>
            <w:r>
              <w:rPr>
                <w:b/>
              </w:rPr>
              <w:t>Woods</w:t>
            </w:r>
          </w:p>
        </w:tc>
        <w:tc>
          <w:tcPr>
            <w:tcW w:w="5130" w:type="dxa"/>
          </w:tcPr>
          <w:p w:rsidR="005578D3" w:rsidRPr="00D32F52" w:rsidRDefault="00A60FFE" w:rsidP="00D32F52">
            <w:pPr>
              <w:pStyle w:val="ListParagraph"/>
              <w:numPr>
                <w:ilvl w:val="0"/>
                <w:numId w:val="5"/>
              </w:numPr>
            </w:pPr>
            <w:r w:rsidRPr="00D32F52">
              <w:t>Next Meeting</w:t>
            </w:r>
            <w:r w:rsidR="00D32F52">
              <w:t>:</w:t>
            </w:r>
          </w:p>
          <w:p w:rsidR="005578D3" w:rsidRPr="00D32F52" w:rsidRDefault="00A60FFE" w:rsidP="00D32F52">
            <w:pPr>
              <w:ind w:left="360"/>
            </w:pPr>
            <w:r w:rsidRPr="00D32F52">
              <w:t xml:space="preserve">July 22, 2015, 3-5 pm </w:t>
            </w:r>
          </w:p>
          <w:p w:rsidR="00D32F52" w:rsidRPr="00D32F52" w:rsidRDefault="00D32F52" w:rsidP="00D32F52">
            <w:pPr>
              <w:ind w:left="360"/>
            </w:pPr>
            <w:r w:rsidRPr="00D32F52">
              <w:t>Conference room A</w:t>
            </w:r>
          </w:p>
          <w:p w:rsidR="00D32F52" w:rsidRPr="00D32F52" w:rsidRDefault="00D32F52" w:rsidP="00D32F52">
            <w:pPr>
              <w:ind w:left="360"/>
            </w:pPr>
            <w:r w:rsidRPr="00D32F52">
              <w:t xml:space="preserve">35 Anthony Avenue, Augusta </w:t>
            </w:r>
          </w:p>
          <w:p w:rsidR="00D32F52" w:rsidRDefault="00D32F52" w:rsidP="00D32F52"/>
          <w:p w:rsidR="00E21527" w:rsidRPr="00E21527" w:rsidRDefault="00E21527" w:rsidP="00D32F52">
            <w:pPr>
              <w:pStyle w:val="ListParagraph"/>
              <w:numPr>
                <w:ilvl w:val="0"/>
                <w:numId w:val="5"/>
              </w:numPr>
            </w:pPr>
            <w:r w:rsidRPr="00E21527">
              <w:t xml:space="preserve">Future Discussion Topics </w:t>
            </w:r>
          </w:p>
          <w:p w:rsidR="00E21527" w:rsidRPr="00E21527" w:rsidRDefault="00E21527" w:rsidP="00D32F52">
            <w:pPr>
              <w:pStyle w:val="ListParagraph"/>
              <w:numPr>
                <w:ilvl w:val="0"/>
                <w:numId w:val="5"/>
              </w:numPr>
              <w:ind w:left="648"/>
            </w:pPr>
            <w:r w:rsidRPr="00E21527">
              <w:t xml:space="preserve">Provider, Stakeholder, &amp; Consumer interview early findings </w:t>
            </w:r>
          </w:p>
          <w:p w:rsidR="007857DA" w:rsidRDefault="007857DA" w:rsidP="00D32F52">
            <w:pPr>
              <w:pStyle w:val="ListParagraph"/>
              <w:numPr>
                <w:ilvl w:val="0"/>
                <w:numId w:val="5"/>
              </w:numPr>
              <w:ind w:left="648"/>
            </w:pPr>
            <w:r>
              <w:t>MaineCare core measure goal</w:t>
            </w:r>
            <w:r w:rsidR="000A02A6">
              <w:t xml:space="preserve"> </w:t>
            </w:r>
            <w:r>
              <w:t>s</w:t>
            </w:r>
            <w:r w:rsidR="000A02A6">
              <w:t>etting</w:t>
            </w:r>
          </w:p>
          <w:p w:rsidR="00E21527" w:rsidRPr="00E21527" w:rsidRDefault="00E21527" w:rsidP="00D32F52">
            <w:pPr>
              <w:pStyle w:val="ListParagraph"/>
              <w:numPr>
                <w:ilvl w:val="0"/>
                <w:numId w:val="5"/>
              </w:numPr>
              <w:ind w:left="648"/>
            </w:pPr>
            <w:r w:rsidRPr="00E21527">
              <w:t>Presentation of</w:t>
            </w:r>
            <w:r w:rsidR="007857DA">
              <w:t xml:space="preserve"> SIM Dashboard and</w:t>
            </w:r>
            <w:r w:rsidRPr="00E21527">
              <w:t xml:space="preserve"> preliminary data analysis</w:t>
            </w:r>
          </w:p>
          <w:p w:rsidR="00E21527" w:rsidRPr="00E21527" w:rsidRDefault="00E21527" w:rsidP="00D32F52">
            <w:pPr>
              <w:pStyle w:val="ListParagraph"/>
              <w:numPr>
                <w:ilvl w:val="0"/>
                <w:numId w:val="5"/>
              </w:numPr>
              <w:ind w:left="648"/>
            </w:pPr>
            <w:r w:rsidRPr="00E21527">
              <w:t>Follow up on identified risks as necessary</w:t>
            </w:r>
          </w:p>
          <w:p w:rsidR="00E75723" w:rsidRDefault="00E75723" w:rsidP="00E21527"/>
        </w:tc>
        <w:tc>
          <w:tcPr>
            <w:tcW w:w="4604" w:type="dxa"/>
          </w:tcPr>
          <w:p w:rsidR="00E1260E" w:rsidRPr="005B19DF" w:rsidRDefault="00E1260E" w:rsidP="00D32F52"/>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lastRenderedPageBreak/>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B64438">
        <w:rPr>
          <w:rFonts w:eastAsia="Times New Roman" w:cs="Times New Roman"/>
          <w:b/>
        </w:rPr>
        <w:t>July 22</w:t>
      </w:r>
      <w:r w:rsidR="005E6D1A">
        <w:rPr>
          <w:rFonts w:eastAsia="Times New Roman" w:cs="Times New Roman"/>
          <w:b/>
        </w:rPr>
        <w:t>, 2015</w:t>
      </w:r>
    </w:p>
    <w:p w:rsidR="005E6D1A" w:rsidRDefault="00F800EE" w:rsidP="00DA7890">
      <w:pPr>
        <w:autoSpaceDE w:val="0"/>
        <w:autoSpaceDN w:val="0"/>
        <w:adjustRightInd w:val="0"/>
        <w:rPr>
          <w:rFonts w:eastAsia="Times New Roman" w:cs="Times New Roman"/>
          <w:b/>
        </w:rPr>
      </w:pPr>
      <w:r>
        <w:rPr>
          <w:rFonts w:eastAsia="Times New Roman" w:cs="Times New Roman"/>
          <w:b/>
        </w:rPr>
        <w:t xml:space="preserve">Conference Room A, </w:t>
      </w:r>
      <w:r w:rsidR="005E6D1A" w:rsidRPr="005E6D1A">
        <w:rPr>
          <w:rFonts w:eastAsia="Times New Roman" w:cs="Times New Roman"/>
          <w:b/>
        </w:rPr>
        <w:t>35 Anthony Avenue, Augusta, Maine</w:t>
      </w:r>
      <w:r w:rsidR="00DA7890">
        <w:rPr>
          <w:rFonts w:eastAsia="Times New Roman" w:cs="Times New Roman"/>
          <w:b/>
        </w:rPr>
        <w:t xml:space="preserve">     Please NOTE- this is a FRAGRANCE FREE building</w:t>
      </w:r>
      <w:r>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227D1E" w:rsidRPr="00382C14" w:rsidTr="00C10E3D">
        <w:tc>
          <w:tcPr>
            <w:tcW w:w="1168" w:type="dxa"/>
          </w:tcPr>
          <w:p w:rsidR="00227D1E" w:rsidRPr="00FF1757" w:rsidRDefault="00D32F52" w:rsidP="00ED2254">
            <w:pPr>
              <w:rPr>
                <w:rFonts w:asciiTheme="minorHAnsi" w:hAnsiTheme="minorHAnsi"/>
                <w:sz w:val="22"/>
                <w:szCs w:val="22"/>
              </w:rPr>
            </w:pPr>
            <w:r>
              <w:rPr>
                <w:rFonts w:asciiTheme="minorHAnsi" w:hAnsiTheme="minorHAnsi"/>
              </w:rPr>
              <w:t>6/24/2015</w:t>
            </w:r>
          </w:p>
        </w:tc>
        <w:tc>
          <w:tcPr>
            <w:tcW w:w="4250"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227D1E" w:rsidRPr="00FF1757" w:rsidRDefault="00F619D3" w:rsidP="007857DA">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r w:rsidR="007857DA">
              <w:rPr>
                <w:rFonts w:asciiTheme="minorHAnsi" w:hAnsiTheme="minorHAnsi"/>
                <w:sz w:val="22"/>
                <w:szCs w:val="22"/>
              </w:rPr>
              <w:t xml:space="preserve">– </w:t>
            </w:r>
          </w:p>
        </w:tc>
        <w:tc>
          <w:tcPr>
            <w:tcW w:w="2073" w:type="dxa"/>
          </w:tcPr>
          <w:p w:rsidR="00227D1E" w:rsidRPr="00FF1757" w:rsidRDefault="007857DA" w:rsidP="00ED2254">
            <w:pPr>
              <w:rPr>
                <w:rFonts w:asciiTheme="minorHAnsi" w:hAnsiTheme="minorHAnsi"/>
                <w:b/>
                <w:sz w:val="22"/>
                <w:szCs w:val="22"/>
              </w:rPr>
            </w:pPr>
            <w:r>
              <w:rPr>
                <w:rFonts w:asciiTheme="minorHAnsi" w:hAnsiTheme="minorHAnsi"/>
                <w:sz w:val="22"/>
                <w:szCs w:val="22"/>
              </w:rPr>
              <w:t>Risk should be mitigated within the next month</w:t>
            </w:r>
          </w:p>
        </w:tc>
        <w:tc>
          <w:tcPr>
            <w:tcW w:w="2306" w:type="dxa"/>
          </w:tcPr>
          <w:p w:rsidR="00227D1E" w:rsidRPr="00FF1757" w:rsidRDefault="007857DA" w:rsidP="007857DA">
            <w:pPr>
              <w:rPr>
                <w:rFonts w:asciiTheme="minorHAnsi" w:hAnsiTheme="minorHAnsi"/>
                <w:b/>
                <w:sz w:val="22"/>
                <w:szCs w:val="22"/>
              </w:rPr>
            </w:pPr>
            <w:r>
              <w:rPr>
                <w:rFonts w:asciiTheme="minorHAnsi" w:hAnsiTheme="minorHAnsi"/>
                <w:b/>
                <w:sz w:val="22"/>
                <w:szCs w:val="22"/>
              </w:rPr>
              <w:t>Andy Paradis / Kathy Woods / Peter Flotten</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F619D3" w:rsidRDefault="000A02A6" w:rsidP="00ED2254">
            <w:r w:rsidRPr="000A02A6">
              <w:rPr>
                <w:rFonts w:asciiTheme="minorHAnsi" w:hAnsiTheme="minorHAnsi"/>
                <w:sz w:val="22"/>
                <w:szCs w:val="22"/>
              </w:rPr>
              <w:t>Once access to Medicare data is granted 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Default="000A02A6" w:rsidP="00ED2254">
            <w:r>
              <w:rPr>
                <w:rFonts w:asciiTheme="minorHAnsi" w:hAnsiTheme="minorHAnsi"/>
              </w:rPr>
              <w:t>Limited ability to influence.</w:t>
            </w:r>
          </w:p>
        </w:tc>
        <w:tc>
          <w:tcPr>
            <w:tcW w:w="2073" w:type="dxa"/>
          </w:tcPr>
          <w:p w:rsidR="000A02A6" w:rsidRDefault="000A02A6" w:rsidP="00ED2254">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t>6/24/2015</w:t>
            </w:r>
          </w:p>
        </w:tc>
        <w:tc>
          <w:tcPr>
            <w:tcW w:w="4250" w:type="dxa"/>
          </w:tcPr>
          <w:p w:rsidR="000A02A6" w:rsidRPr="00F619D3" w:rsidRDefault="000A02A6" w:rsidP="00ED2254">
            <w:pPr>
              <w:rPr>
                <w:rFonts w:asciiTheme="minorHAnsi" w:hAnsiTheme="minorHAnsi"/>
              </w:rPr>
            </w:pPr>
            <w:r w:rsidRPr="00F619D3">
              <w:rPr>
                <w:rFonts w:asciiTheme="minorHAnsi" w:hAnsiTheme="minorHAnsi"/>
              </w:rPr>
              <w:t>Potential delays in timely access to Commercial data due to time lags in release of data</w:t>
            </w:r>
          </w:p>
        </w:tc>
        <w:tc>
          <w:tcPr>
            <w:tcW w:w="3465" w:type="dxa"/>
          </w:tcPr>
          <w:p w:rsidR="000A02A6" w:rsidRPr="00F619D3" w:rsidRDefault="000A02A6" w:rsidP="00ED2254">
            <w:pPr>
              <w:rPr>
                <w:rFonts w:asciiTheme="minorHAnsi" w:hAnsiTheme="minorHAnsi"/>
              </w:rPr>
            </w:pPr>
            <w:r>
              <w:rPr>
                <w:rFonts w:asciiTheme="minorHAnsi" w:hAnsiTheme="minorHAnsi"/>
              </w:rPr>
              <w:t>There is a four month lag for data at this time, but it is anticipated that data through March 2014 will be sent to Lewin in July 2015. Limited ability to influence.</w:t>
            </w:r>
          </w:p>
        </w:tc>
        <w:tc>
          <w:tcPr>
            <w:tcW w:w="2073" w:type="dxa"/>
          </w:tcPr>
          <w:p w:rsidR="000A02A6" w:rsidRPr="00F619D3" w:rsidRDefault="000A02A6" w:rsidP="00ED2254">
            <w:pPr>
              <w:rPr>
                <w:rFonts w:asciiTheme="minorHAnsi" w:hAnsiTheme="minorHAnsi"/>
                <w:b/>
              </w:rPr>
            </w:pPr>
            <w:r>
              <w:rPr>
                <w:rFonts w:asciiTheme="minorHAnsi" w:hAnsiTheme="minorHAnsi"/>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Pr="00FF1757" w:rsidRDefault="00F619D3" w:rsidP="00ED2254">
            <w:pPr>
              <w:rPr>
                <w:rFonts w:asciiTheme="minorHAnsi" w:hAnsiTheme="minorHAnsi"/>
                <w:sz w:val="22"/>
                <w:szCs w:val="22"/>
              </w:rPr>
            </w:pPr>
            <w:r>
              <w:rPr>
                <w:rFonts w:asciiTheme="minorHAnsi" w:hAnsiTheme="minorHAnsi"/>
                <w:sz w:val="22"/>
                <w:szCs w:val="22"/>
              </w:rPr>
              <w:t xml:space="preserve">This issue will be sent to the Data Infrastructure Subcommittee for consideration. </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FF1757" w:rsidP="00ED2254">
            <w:pPr>
              <w:rPr>
                <w:rFonts w:asciiTheme="minorHAnsi" w:hAnsiTheme="minorHAnsi"/>
                <w:b/>
                <w:sz w:val="22"/>
                <w:szCs w:val="22"/>
              </w:rPr>
            </w:pPr>
            <w:r w:rsidRPr="00FF1757">
              <w:rPr>
                <w:rFonts w:asciiTheme="minorHAnsi" w:hAnsiTheme="minorHAnsi"/>
                <w:b/>
                <w:sz w:val="22"/>
                <w:szCs w:val="22"/>
              </w:rPr>
              <w:t>Kathy Woods, Amy Wagner</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r w:rsidR="003F780E" w:rsidRPr="00382C14" w:rsidTr="003F780E">
        <w:tc>
          <w:tcPr>
            <w:tcW w:w="2156" w:type="dxa"/>
          </w:tcPr>
          <w:p w:rsidR="003F780E" w:rsidRPr="008D12EE" w:rsidRDefault="003F780E" w:rsidP="00A93934">
            <w:pPr>
              <w:rPr>
                <w:rFonts w:asciiTheme="minorHAnsi" w:hAnsiTheme="minorHAnsi"/>
                <w:sz w:val="22"/>
                <w:szCs w:val="22"/>
              </w:rPr>
            </w:pPr>
          </w:p>
        </w:tc>
        <w:tc>
          <w:tcPr>
            <w:tcW w:w="3285" w:type="dxa"/>
          </w:tcPr>
          <w:p w:rsidR="003F780E" w:rsidRPr="007A711B" w:rsidRDefault="003F780E" w:rsidP="00A93934">
            <w:pPr>
              <w:rPr>
                <w:rFonts w:asciiTheme="minorHAnsi" w:hAnsiTheme="minorHAnsi"/>
                <w:sz w:val="22"/>
                <w:szCs w:val="22"/>
              </w:rPr>
            </w:pPr>
          </w:p>
        </w:tc>
        <w:tc>
          <w:tcPr>
            <w:tcW w:w="4048" w:type="dxa"/>
          </w:tcPr>
          <w:p w:rsidR="003F780E" w:rsidRPr="007A711B" w:rsidRDefault="003F780E" w:rsidP="00A93934"/>
        </w:tc>
        <w:tc>
          <w:tcPr>
            <w:tcW w:w="3773" w:type="dxa"/>
          </w:tcPr>
          <w:p w:rsidR="003F780E" w:rsidRPr="007A711B" w:rsidRDefault="003F780E" w:rsidP="00A93934"/>
        </w:tc>
      </w:tr>
      <w:tr w:rsidR="003F780E" w:rsidRPr="00382C14" w:rsidTr="003F780E">
        <w:tc>
          <w:tcPr>
            <w:tcW w:w="2156" w:type="dxa"/>
          </w:tcPr>
          <w:p w:rsidR="003F780E" w:rsidRPr="00382C14" w:rsidRDefault="003F780E" w:rsidP="00A93934"/>
        </w:tc>
        <w:tc>
          <w:tcPr>
            <w:tcW w:w="3285" w:type="dxa"/>
          </w:tcPr>
          <w:p w:rsidR="003F780E" w:rsidRPr="00382C14" w:rsidRDefault="003F780E" w:rsidP="00A93934"/>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even" r:id="rId13"/>
      <w:headerReference w:type="default" r:id="rId14"/>
      <w:footerReference w:type="even" r:id="rId15"/>
      <w:footerReference w:type="default" r:id="rId16"/>
      <w:headerReference w:type="first" r:id="rId17"/>
      <w:footerReference w:type="first" r:id="rId18"/>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AB" w:rsidRDefault="004145AB" w:rsidP="009528AC">
      <w:pPr>
        <w:spacing w:after="0" w:line="240" w:lineRule="auto"/>
      </w:pPr>
      <w:r>
        <w:separator/>
      </w:r>
    </w:p>
  </w:endnote>
  <w:endnote w:type="continuationSeparator" w:id="0">
    <w:p w:rsidR="004145AB" w:rsidRDefault="004145AB"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A9" w:rsidRDefault="00971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0D6224">
        <w:pPr>
          <w:pStyle w:val="Footer"/>
          <w:jc w:val="right"/>
          <w:rPr>
            <w:sz w:val="18"/>
            <w:szCs w:val="18"/>
          </w:rPr>
        </w:pPr>
        <w:r>
          <w:rPr>
            <w:sz w:val="18"/>
            <w:szCs w:val="18"/>
          </w:rPr>
          <w:t>June 24</w:t>
        </w:r>
        <w:r w:rsidR="005E6D1A" w:rsidRPr="005E6D1A">
          <w:rPr>
            <w:sz w:val="18"/>
            <w:szCs w:val="18"/>
          </w:rPr>
          <w:t>, 201</w:t>
        </w:r>
        <w:r w:rsidR="00BF09F3">
          <w:rPr>
            <w:sz w:val="18"/>
            <w:szCs w:val="18"/>
          </w:rPr>
          <w:t>5</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BA1389">
          <w:rPr>
            <w:noProof/>
            <w:sz w:val="18"/>
            <w:szCs w:val="18"/>
          </w:rPr>
          <w:t>1</w:t>
        </w:r>
        <w:r w:rsidRPr="005E6D1A">
          <w:rPr>
            <w:noProof/>
            <w:sz w:val="18"/>
            <w:szCs w:val="18"/>
          </w:rPr>
          <w:fldChar w:fldCharType="end"/>
        </w:r>
      </w:p>
    </w:sdtContent>
  </w:sdt>
  <w:p w:rsidR="0040415D" w:rsidRDefault="00404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A9" w:rsidRDefault="00971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AB" w:rsidRDefault="004145AB" w:rsidP="009528AC">
      <w:pPr>
        <w:spacing w:after="0" w:line="240" w:lineRule="auto"/>
      </w:pPr>
      <w:r>
        <w:separator/>
      </w:r>
    </w:p>
  </w:footnote>
  <w:footnote w:type="continuationSeparator" w:id="0">
    <w:p w:rsidR="004145AB" w:rsidRDefault="004145AB"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A9" w:rsidRDefault="00971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43381"/>
      <w:docPartObj>
        <w:docPartGallery w:val="Watermarks"/>
        <w:docPartUnique/>
      </w:docPartObj>
    </w:sdtPr>
    <w:sdtEndPr/>
    <w:sdtContent>
      <w:p w:rsidR="00971CA9" w:rsidRDefault="00BA138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A9" w:rsidRDefault="00971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612445"/>
    <w:multiLevelType w:val="hybridMultilevel"/>
    <w:tmpl w:val="D46CE3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81629A"/>
    <w:multiLevelType w:val="hybridMultilevel"/>
    <w:tmpl w:val="26DA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8E4738"/>
    <w:multiLevelType w:val="hybridMultilevel"/>
    <w:tmpl w:val="F6745A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EA94A4C"/>
    <w:multiLevelType w:val="hybridMultilevel"/>
    <w:tmpl w:val="8A9600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76D6"/>
    <w:rsid w:val="00021782"/>
    <w:rsid w:val="00026C79"/>
    <w:rsid w:val="00033E1C"/>
    <w:rsid w:val="00046DB0"/>
    <w:rsid w:val="00047088"/>
    <w:rsid w:val="00051E6B"/>
    <w:rsid w:val="00053DB9"/>
    <w:rsid w:val="00066456"/>
    <w:rsid w:val="000714B6"/>
    <w:rsid w:val="00075B17"/>
    <w:rsid w:val="00086D9D"/>
    <w:rsid w:val="00097E02"/>
    <w:rsid w:val="000A02A6"/>
    <w:rsid w:val="000A6C66"/>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7C92"/>
    <w:rsid w:val="00114C65"/>
    <w:rsid w:val="001173D5"/>
    <w:rsid w:val="001206D1"/>
    <w:rsid w:val="0012168B"/>
    <w:rsid w:val="0012170D"/>
    <w:rsid w:val="00124585"/>
    <w:rsid w:val="00124F1E"/>
    <w:rsid w:val="00130314"/>
    <w:rsid w:val="001309E6"/>
    <w:rsid w:val="00132219"/>
    <w:rsid w:val="00133836"/>
    <w:rsid w:val="001521D1"/>
    <w:rsid w:val="0015221F"/>
    <w:rsid w:val="0015295E"/>
    <w:rsid w:val="001565FD"/>
    <w:rsid w:val="001567D4"/>
    <w:rsid w:val="0016382B"/>
    <w:rsid w:val="001774A5"/>
    <w:rsid w:val="001828A9"/>
    <w:rsid w:val="00184A3F"/>
    <w:rsid w:val="00190FD6"/>
    <w:rsid w:val="0019691C"/>
    <w:rsid w:val="00197039"/>
    <w:rsid w:val="0019779D"/>
    <w:rsid w:val="001A2AA7"/>
    <w:rsid w:val="001A3885"/>
    <w:rsid w:val="001B0113"/>
    <w:rsid w:val="001B1456"/>
    <w:rsid w:val="001B589D"/>
    <w:rsid w:val="001C38CD"/>
    <w:rsid w:val="001C4F27"/>
    <w:rsid w:val="001D1950"/>
    <w:rsid w:val="001D1B62"/>
    <w:rsid w:val="001D4383"/>
    <w:rsid w:val="001D4751"/>
    <w:rsid w:val="001D798E"/>
    <w:rsid w:val="001E2542"/>
    <w:rsid w:val="001E36E1"/>
    <w:rsid w:val="001F1605"/>
    <w:rsid w:val="001F41F0"/>
    <w:rsid w:val="001F7B1B"/>
    <w:rsid w:val="002045A4"/>
    <w:rsid w:val="00205ACD"/>
    <w:rsid w:val="00211F0F"/>
    <w:rsid w:val="00215823"/>
    <w:rsid w:val="00217D2B"/>
    <w:rsid w:val="00220051"/>
    <w:rsid w:val="002210BE"/>
    <w:rsid w:val="00224B04"/>
    <w:rsid w:val="00227D1E"/>
    <w:rsid w:val="0023065D"/>
    <w:rsid w:val="002309F0"/>
    <w:rsid w:val="00231153"/>
    <w:rsid w:val="00232996"/>
    <w:rsid w:val="00235B01"/>
    <w:rsid w:val="00237BB8"/>
    <w:rsid w:val="002422B9"/>
    <w:rsid w:val="0024589D"/>
    <w:rsid w:val="00251624"/>
    <w:rsid w:val="002533BE"/>
    <w:rsid w:val="00254D4F"/>
    <w:rsid w:val="00255283"/>
    <w:rsid w:val="00265838"/>
    <w:rsid w:val="00283A5B"/>
    <w:rsid w:val="00285B5F"/>
    <w:rsid w:val="00294AD3"/>
    <w:rsid w:val="002950B8"/>
    <w:rsid w:val="002A22B5"/>
    <w:rsid w:val="002A2A54"/>
    <w:rsid w:val="002A54A7"/>
    <w:rsid w:val="002A5768"/>
    <w:rsid w:val="002A71DC"/>
    <w:rsid w:val="002B1061"/>
    <w:rsid w:val="002B7C9C"/>
    <w:rsid w:val="002C5D29"/>
    <w:rsid w:val="002C7C85"/>
    <w:rsid w:val="002D4B00"/>
    <w:rsid w:val="002D7E92"/>
    <w:rsid w:val="002E3E81"/>
    <w:rsid w:val="002E77E0"/>
    <w:rsid w:val="002F0184"/>
    <w:rsid w:val="002F1C52"/>
    <w:rsid w:val="002F236C"/>
    <w:rsid w:val="002F2D19"/>
    <w:rsid w:val="002F5927"/>
    <w:rsid w:val="002F76A7"/>
    <w:rsid w:val="0030128E"/>
    <w:rsid w:val="0030398E"/>
    <w:rsid w:val="00307654"/>
    <w:rsid w:val="00313F23"/>
    <w:rsid w:val="00317EB4"/>
    <w:rsid w:val="00320777"/>
    <w:rsid w:val="00320DF3"/>
    <w:rsid w:val="003220C6"/>
    <w:rsid w:val="003234D8"/>
    <w:rsid w:val="00323BDD"/>
    <w:rsid w:val="0032550D"/>
    <w:rsid w:val="00354529"/>
    <w:rsid w:val="00365DB9"/>
    <w:rsid w:val="00366684"/>
    <w:rsid w:val="00372121"/>
    <w:rsid w:val="0037241B"/>
    <w:rsid w:val="0037672E"/>
    <w:rsid w:val="00382C14"/>
    <w:rsid w:val="003847D2"/>
    <w:rsid w:val="003970E1"/>
    <w:rsid w:val="003972B8"/>
    <w:rsid w:val="003A276D"/>
    <w:rsid w:val="003B18D0"/>
    <w:rsid w:val="003B3F0A"/>
    <w:rsid w:val="003C0B6E"/>
    <w:rsid w:val="003D2F31"/>
    <w:rsid w:val="003D480C"/>
    <w:rsid w:val="003D799D"/>
    <w:rsid w:val="003E0CE1"/>
    <w:rsid w:val="003E16CD"/>
    <w:rsid w:val="003E33AF"/>
    <w:rsid w:val="003E5339"/>
    <w:rsid w:val="003E784C"/>
    <w:rsid w:val="003E7C6A"/>
    <w:rsid w:val="003F780E"/>
    <w:rsid w:val="00401DC3"/>
    <w:rsid w:val="0040415D"/>
    <w:rsid w:val="00405094"/>
    <w:rsid w:val="004145AB"/>
    <w:rsid w:val="00416F02"/>
    <w:rsid w:val="00421749"/>
    <w:rsid w:val="0042176F"/>
    <w:rsid w:val="0042546D"/>
    <w:rsid w:val="004270B5"/>
    <w:rsid w:val="004278A9"/>
    <w:rsid w:val="00427D52"/>
    <w:rsid w:val="00431A1C"/>
    <w:rsid w:val="00441254"/>
    <w:rsid w:val="00451E01"/>
    <w:rsid w:val="0045597A"/>
    <w:rsid w:val="00465910"/>
    <w:rsid w:val="00472BC7"/>
    <w:rsid w:val="00472D8C"/>
    <w:rsid w:val="004754B8"/>
    <w:rsid w:val="0047680F"/>
    <w:rsid w:val="00481813"/>
    <w:rsid w:val="00482A58"/>
    <w:rsid w:val="00483443"/>
    <w:rsid w:val="00492901"/>
    <w:rsid w:val="004A16BA"/>
    <w:rsid w:val="004A17A1"/>
    <w:rsid w:val="004A59FE"/>
    <w:rsid w:val="004A6F00"/>
    <w:rsid w:val="004B19FA"/>
    <w:rsid w:val="004B5FB2"/>
    <w:rsid w:val="004B76DC"/>
    <w:rsid w:val="004C0584"/>
    <w:rsid w:val="004C0EA7"/>
    <w:rsid w:val="004C2832"/>
    <w:rsid w:val="004C59C2"/>
    <w:rsid w:val="004D349B"/>
    <w:rsid w:val="004D3D29"/>
    <w:rsid w:val="004E21A0"/>
    <w:rsid w:val="004E3B9B"/>
    <w:rsid w:val="004F2914"/>
    <w:rsid w:val="00503704"/>
    <w:rsid w:val="00504887"/>
    <w:rsid w:val="00511D91"/>
    <w:rsid w:val="00513493"/>
    <w:rsid w:val="0051757D"/>
    <w:rsid w:val="00524079"/>
    <w:rsid w:val="00533F6E"/>
    <w:rsid w:val="00534E7A"/>
    <w:rsid w:val="005350A4"/>
    <w:rsid w:val="00535B92"/>
    <w:rsid w:val="00535BD7"/>
    <w:rsid w:val="00536D0A"/>
    <w:rsid w:val="00542DCF"/>
    <w:rsid w:val="00544104"/>
    <w:rsid w:val="00546CAC"/>
    <w:rsid w:val="005538F0"/>
    <w:rsid w:val="005542BE"/>
    <w:rsid w:val="00556F75"/>
    <w:rsid w:val="005578D3"/>
    <w:rsid w:val="00563043"/>
    <w:rsid w:val="005644F0"/>
    <w:rsid w:val="00570F14"/>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7BF9"/>
    <w:rsid w:val="005B19DF"/>
    <w:rsid w:val="005B1B33"/>
    <w:rsid w:val="005B22F4"/>
    <w:rsid w:val="005B41C0"/>
    <w:rsid w:val="005B7630"/>
    <w:rsid w:val="005C0DF3"/>
    <w:rsid w:val="005C691C"/>
    <w:rsid w:val="005E117A"/>
    <w:rsid w:val="005E6566"/>
    <w:rsid w:val="005E6D1A"/>
    <w:rsid w:val="005F0FE8"/>
    <w:rsid w:val="005F2329"/>
    <w:rsid w:val="005F263F"/>
    <w:rsid w:val="005F3A25"/>
    <w:rsid w:val="005F60BC"/>
    <w:rsid w:val="00600D6B"/>
    <w:rsid w:val="00603600"/>
    <w:rsid w:val="00603701"/>
    <w:rsid w:val="00603DD6"/>
    <w:rsid w:val="00605928"/>
    <w:rsid w:val="00607F42"/>
    <w:rsid w:val="0061044D"/>
    <w:rsid w:val="00611561"/>
    <w:rsid w:val="0061496B"/>
    <w:rsid w:val="00615DFD"/>
    <w:rsid w:val="00627A82"/>
    <w:rsid w:val="00627D89"/>
    <w:rsid w:val="006319AD"/>
    <w:rsid w:val="00634B9E"/>
    <w:rsid w:val="00635E57"/>
    <w:rsid w:val="00636E2A"/>
    <w:rsid w:val="00644791"/>
    <w:rsid w:val="006602B5"/>
    <w:rsid w:val="00664BF0"/>
    <w:rsid w:val="006743EC"/>
    <w:rsid w:val="00680536"/>
    <w:rsid w:val="0068420A"/>
    <w:rsid w:val="00685D08"/>
    <w:rsid w:val="00693536"/>
    <w:rsid w:val="0069679D"/>
    <w:rsid w:val="006974E7"/>
    <w:rsid w:val="006A1299"/>
    <w:rsid w:val="006A4090"/>
    <w:rsid w:val="006B164B"/>
    <w:rsid w:val="006B391C"/>
    <w:rsid w:val="006C04F9"/>
    <w:rsid w:val="006C083C"/>
    <w:rsid w:val="006C2122"/>
    <w:rsid w:val="006D27DE"/>
    <w:rsid w:val="006F2FDF"/>
    <w:rsid w:val="006F4A12"/>
    <w:rsid w:val="00714D46"/>
    <w:rsid w:val="0071661C"/>
    <w:rsid w:val="007224D3"/>
    <w:rsid w:val="007225CD"/>
    <w:rsid w:val="007233A4"/>
    <w:rsid w:val="00730AD4"/>
    <w:rsid w:val="00730CA7"/>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57DA"/>
    <w:rsid w:val="00786871"/>
    <w:rsid w:val="00792436"/>
    <w:rsid w:val="00793AF9"/>
    <w:rsid w:val="00794936"/>
    <w:rsid w:val="007A711B"/>
    <w:rsid w:val="007A72A4"/>
    <w:rsid w:val="007B0633"/>
    <w:rsid w:val="007B080F"/>
    <w:rsid w:val="007C1CDB"/>
    <w:rsid w:val="007C2ECC"/>
    <w:rsid w:val="007D1DCD"/>
    <w:rsid w:val="007D4D2E"/>
    <w:rsid w:val="007E0304"/>
    <w:rsid w:val="007E18C8"/>
    <w:rsid w:val="007E237F"/>
    <w:rsid w:val="007E4775"/>
    <w:rsid w:val="007E4B46"/>
    <w:rsid w:val="007E59DD"/>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3EEB"/>
    <w:rsid w:val="008C516A"/>
    <w:rsid w:val="008D12EE"/>
    <w:rsid w:val="008D18D1"/>
    <w:rsid w:val="008D3F65"/>
    <w:rsid w:val="008E162A"/>
    <w:rsid w:val="008E19F6"/>
    <w:rsid w:val="008E3D83"/>
    <w:rsid w:val="008F2DA8"/>
    <w:rsid w:val="008F3561"/>
    <w:rsid w:val="008F5D6E"/>
    <w:rsid w:val="00904D1E"/>
    <w:rsid w:val="00906A46"/>
    <w:rsid w:val="00910134"/>
    <w:rsid w:val="0091304A"/>
    <w:rsid w:val="009142CC"/>
    <w:rsid w:val="00914EB5"/>
    <w:rsid w:val="00916DE7"/>
    <w:rsid w:val="00922930"/>
    <w:rsid w:val="00924B9E"/>
    <w:rsid w:val="00925343"/>
    <w:rsid w:val="009310E2"/>
    <w:rsid w:val="00932AA0"/>
    <w:rsid w:val="00934F2C"/>
    <w:rsid w:val="009363E1"/>
    <w:rsid w:val="00941278"/>
    <w:rsid w:val="009470B3"/>
    <w:rsid w:val="009528AC"/>
    <w:rsid w:val="00952C2E"/>
    <w:rsid w:val="009569E4"/>
    <w:rsid w:val="0095790E"/>
    <w:rsid w:val="00971CA9"/>
    <w:rsid w:val="00984BD6"/>
    <w:rsid w:val="0099337F"/>
    <w:rsid w:val="009A06B8"/>
    <w:rsid w:val="009A674E"/>
    <w:rsid w:val="009A7859"/>
    <w:rsid w:val="009B0D2F"/>
    <w:rsid w:val="009B1DED"/>
    <w:rsid w:val="009B33CB"/>
    <w:rsid w:val="009B480A"/>
    <w:rsid w:val="009B5E40"/>
    <w:rsid w:val="009C071B"/>
    <w:rsid w:val="009C175D"/>
    <w:rsid w:val="009C1965"/>
    <w:rsid w:val="009D0255"/>
    <w:rsid w:val="009E21FE"/>
    <w:rsid w:val="009E7C50"/>
    <w:rsid w:val="009F7035"/>
    <w:rsid w:val="009F7437"/>
    <w:rsid w:val="009F74F0"/>
    <w:rsid w:val="00A028AE"/>
    <w:rsid w:val="00A03F07"/>
    <w:rsid w:val="00A0773C"/>
    <w:rsid w:val="00A1155A"/>
    <w:rsid w:val="00A15575"/>
    <w:rsid w:val="00A17730"/>
    <w:rsid w:val="00A25DD8"/>
    <w:rsid w:val="00A3329A"/>
    <w:rsid w:val="00A34E8B"/>
    <w:rsid w:val="00A35524"/>
    <w:rsid w:val="00A40865"/>
    <w:rsid w:val="00A516A0"/>
    <w:rsid w:val="00A53AF3"/>
    <w:rsid w:val="00A5601F"/>
    <w:rsid w:val="00A60FFE"/>
    <w:rsid w:val="00A628F7"/>
    <w:rsid w:val="00A63621"/>
    <w:rsid w:val="00A65CDF"/>
    <w:rsid w:val="00A65D3E"/>
    <w:rsid w:val="00A70231"/>
    <w:rsid w:val="00A7115B"/>
    <w:rsid w:val="00A7467D"/>
    <w:rsid w:val="00A77638"/>
    <w:rsid w:val="00A80237"/>
    <w:rsid w:val="00A80B89"/>
    <w:rsid w:val="00A81FC0"/>
    <w:rsid w:val="00A84E7D"/>
    <w:rsid w:val="00A93934"/>
    <w:rsid w:val="00AA3374"/>
    <w:rsid w:val="00AA6364"/>
    <w:rsid w:val="00AA7672"/>
    <w:rsid w:val="00AB3BCA"/>
    <w:rsid w:val="00AB717E"/>
    <w:rsid w:val="00AC0BA8"/>
    <w:rsid w:val="00AC400F"/>
    <w:rsid w:val="00AC578F"/>
    <w:rsid w:val="00AD0517"/>
    <w:rsid w:val="00AD4845"/>
    <w:rsid w:val="00AD5607"/>
    <w:rsid w:val="00AD57CA"/>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64438"/>
    <w:rsid w:val="00B70D30"/>
    <w:rsid w:val="00B718DC"/>
    <w:rsid w:val="00B722D3"/>
    <w:rsid w:val="00B730FC"/>
    <w:rsid w:val="00B73575"/>
    <w:rsid w:val="00B84210"/>
    <w:rsid w:val="00B95148"/>
    <w:rsid w:val="00B97464"/>
    <w:rsid w:val="00BA1389"/>
    <w:rsid w:val="00BB38A4"/>
    <w:rsid w:val="00BB514A"/>
    <w:rsid w:val="00BB5E4C"/>
    <w:rsid w:val="00BC6ABF"/>
    <w:rsid w:val="00BD1BE8"/>
    <w:rsid w:val="00BD2E04"/>
    <w:rsid w:val="00BD3725"/>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3BA4"/>
    <w:rsid w:val="00C16773"/>
    <w:rsid w:val="00C16FAF"/>
    <w:rsid w:val="00C25EFC"/>
    <w:rsid w:val="00C26796"/>
    <w:rsid w:val="00C26D0D"/>
    <w:rsid w:val="00C318BB"/>
    <w:rsid w:val="00C320B4"/>
    <w:rsid w:val="00C35836"/>
    <w:rsid w:val="00C46CAB"/>
    <w:rsid w:val="00C472ED"/>
    <w:rsid w:val="00C47D2C"/>
    <w:rsid w:val="00C51824"/>
    <w:rsid w:val="00C520BB"/>
    <w:rsid w:val="00C5237A"/>
    <w:rsid w:val="00C60DB3"/>
    <w:rsid w:val="00C619AC"/>
    <w:rsid w:val="00C61EA0"/>
    <w:rsid w:val="00C67EA7"/>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E6FFD"/>
    <w:rsid w:val="00CF4902"/>
    <w:rsid w:val="00CF5465"/>
    <w:rsid w:val="00D01259"/>
    <w:rsid w:val="00D02A48"/>
    <w:rsid w:val="00D07230"/>
    <w:rsid w:val="00D10110"/>
    <w:rsid w:val="00D1116E"/>
    <w:rsid w:val="00D12D58"/>
    <w:rsid w:val="00D1384F"/>
    <w:rsid w:val="00D14B22"/>
    <w:rsid w:val="00D15570"/>
    <w:rsid w:val="00D15958"/>
    <w:rsid w:val="00D16086"/>
    <w:rsid w:val="00D20A2B"/>
    <w:rsid w:val="00D26BCB"/>
    <w:rsid w:val="00D32899"/>
    <w:rsid w:val="00D32F52"/>
    <w:rsid w:val="00D334BD"/>
    <w:rsid w:val="00D35C73"/>
    <w:rsid w:val="00D379AA"/>
    <w:rsid w:val="00D41348"/>
    <w:rsid w:val="00D4170A"/>
    <w:rsid w:val="00D4350F"/>
    <w:rsid w:val="00D47FDE"/>
    <w:rsid w:val="00D51EA6"/>
    <w:rsid w:val="00D5538C"/>
    <w:rsid w:val="00D6261D"/>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1A00"/>
    <w:rsid w:val="00DB35D6"/>
    <w:rsid w:val="00DB5F72"/>
    <w:rsid w:val="00DC2ABE"/>
    <w:rsid w:val="00DC45C1"/>
    <w:rsid w:val="00DC5C80"/>
    <w:rsid w:val="00DC7D65"/>
    <w:rsid w:val="00DD1237"/>
    <w:rsid w:val="00DD42D5"/>
    <w:rsid w:val="00DD55F3"/>
    <w:rsid w:val="00DD65F7"/>
    <w:rsid w:val="00DE3859"/>
    <w:rsid w:val="00DF3E2D"/>
    <w:rsid w:val="00DF4565"/>
    <w:rsid w:val="00DF5DC3"/>
    <w:rsid w:val="00E02AFE"/>
    <w:rsid w:val="00E02E28"/>
    <w:rsid w:val="00E037B1"/>
    <w:rsid w:val="00E04405"/>
    <w:rsid w:val="00E063EF"/>
    <w:rsid w:val="00E07D58"/>
    <w:rsid w:val="00E1035C"/>
    <w:rsid w:val="00E11F71"/>
    <w:rsid w:val="00E1260E"/>
    <w:rsid w:val="00E14CEB"/>
    <w:rsid w:val="00E1584D"/>
    <w:rsid w:val="00E20E41"/>
    <w:rsid w:val="00E21527"/>
    <w:rsid w:val="00E32CBA"/>
    <w:rsid w:val="00E339A4"/>
    <w:rsid w:val="00E3596C"/>
    <w:rsid w:val="00E3623E"/>
    <w:rsid w:val="00E40F7B"/>
    <w:rsid w:val="00E4422C"/>
    <w:rsid w:val="00E51260"/>
    <w:rsid w:val="00E535AD"/>
    <w:rsid w:val="00E56E9B"/>
    <w:rsid w:val="00E57983"/>
    <w:rsid w:val="00E61F8F"/>
    <w:rsid w:val="00E64589"/>
    <w:rsid w:val="00E75723"/>
    <w:rsid w:val="00E779CD"/>
    <w:rsid w:val="00E83854"/>
    <w:rsid w:val="00E83E5A"/>
    <w:rsid w:val="00E90849"/>
    <w:rsid w:val="00E91865"/>
    <w:rsid w:val="00E91CC0"/>
    <w:rsid w:val="00EA7500"/>
    <w:rsid w:val="00EA7E70"/>
    <w:rsid w:val="00EB3D4C"/>
    <w:rsid w:val="00EB6509"/>
    <w:rsid w:val="00EC0CBA"/>
    <w:rsid w:val="00EC108A"/>
    <w:rsid w:val="00EC14ED"/>
    <w:rsid w:val="00EC3095"/>
    <w:rsid w:val="00EC356A"/>
    <w:rsid w:val="00EC40B8"/>
    <w:rsid w:val="00EC52FD"/>
    <w:rsid w:val="00EC751B"/>
    <w:rsid w:val="00ED2254"/>
    <w:rsid w:val="00EE155B"/>
    <w:rsid w:val="00EE2F17"/>
    <w:rsid w:val="00EE3ED1"/>
    <w:rsid w:val="00EE7B31"/>
    <w:rsid w:val="00EF08EB"/>
    <w:rsid w:val="00EF3B9E"/>
    <w:rsid w:val="00EF45EE"/>
    <w:rsid w:val="00EF76B2"/>
    <w:rsid w:val="00F03098"/>
    <w:rsid w:val="00F05A55"/>
    <w:rsid w:val="00F12884"/>
    <w:rsid w:val="00F16C5D"/>
    <w:rsid w:val="00F2099C"/>
    <w:rsid w:val="00F2282F"/>
    <w:rsid w:val="00F23DD7"/>
    <w:rsid w:val="00F3282C"/>
    <w:rsid w:val="00F45035"/>
    <w:rsid w:val="00F60C73"/>
    <w:rsid w:val="00F61704"/>
    <w:rsid w:val="00F619D3"/>
    <w:rsid w:val="00F61F9E"/>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5354"/>
    <w:rsid w:val="00FE67AE"/>
    <w:rsid w:val="00FF1757"/>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1BE73F92-DCFA-44C6-BFC7-86DDF14BC218}">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941AD3-BDB2-4B1E-B2FF-AB98413F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Jade Christie-Maples</cp:lastModifiedBy>
  <cp:revision>2</cp:revision>
  <cp:lastPrinted>2014-04-08T15:44:00Z</cp:lastPrinted>
  <dcterms:created xsi:type="dcterms:W3CDTF">2015-07-27T16:14:00Z</dcterms:created>
  <dcterms:modified xsi:type="dcterms:W3CDTF">2015-07-27T16:14:00Z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